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2"/>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August 19,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3051F2"/>
          <w:sz w:val="32"/>
        </w:rPr>
      </w:pPr>
      <w:r>
        <w:rPr>
          <w:rFonts w:ascii="Times New Roman;serif" w:hAnsi="Times New Roman;serif"/>
          <w:b/>
          <w:color w:val="3051F2"/>
          <w:sz w:val="32"/>
        </w:rPr>
        <w:t>Ionic Digital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001-41941</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99-0565447</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650 Massachusetts Avenue NW, 6th Floor</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Washington, District of Columbia 20001</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(754) 273-6593</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300" w:before="0" w:after="120"/>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2"/>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9107" w:type="dxa"/>
        <w:jc w:val="left"/>
        <w:tblInd w:w="0" w:type="dxa"/>
        <w:tblLayout w:type="fixed"/>
        <w:tblCellMar>
          <w:top w:w="28" w:type="dxa"/>
          <w:left w:w="28" w:type="dxa"/>
          <w:bottom w:w="28" w:type="dxa"/>
          <w:right w:w="28" w:type="dxa"/>
        </w:tblCellMar>
      </w:tblPr>
      <w:tblGrid>
        <w:gridCol w:w="1354"/>
        <w:gridCol w:w="1190"/>
        <w:gridCol w:w="1190"/>
        <w:gridCol w:w="516"/>
        <w:gridCol w:w="516"/>
        <w:gridCol w:w="516"/>
        <w:gridCol w:w="1120"/>
        <w:gridCol w:w="1120"/>
        <w:gridCol w:w="1585"/>
      </w:tblGrid>
      <w:tr>
        <w:trPr/>
        <w:tc>
          <w:tcPr>
            <w:tcW w:w="135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910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7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73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Class A common stock, par value $0.00001</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IOND</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8" w:after="283"/>
        <w:jc w:val="both"/>
        <w:rPr/>
      </w:pPr>
      <w:r>
        <w:rPr>
          <w:rFonts w:ascii="Times New Roman;serif" w:hAnsi="Times New Roman;serif"/>
          <w:b/>
          <w:color w:val="000000"/>
          <w:sz w:val="20"/>
        </w:rPr>
        <w:t>Emerging growth company    </w:t>
      </w:r>
      <w:r>
        <w:rPr>
          <w:rFonts w:ascii="Wingdings;sans-serif" w:hAnsi="Wingdings;sans-serif"/>
          <w:b w:val="false"/>
          <w:color w:val="000000"/>
          <w:sz w:val="22"/>
        </w:rPr>
        <w:t>x</w:t>
      </w:r>
    </w:p>
    <w:p>
      <w:pPr>
        <w:pStyle w:val="TextBody"/>
        <w:bidi w:val="0"/>
        <w:spacing w:lineRule="auto" w:line="220" w:before="0" w:after="0"/>
        <w:jc w:val="left"/>
        <w:rPr/>
      </w:pPr>
      <w:r>
        <w:rPr>
          <w:rFonts w:ascii="Times New Roman;serif" w:hAnsi="Times New Roman;serif"/>
          <w:b/>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120"/>
        <w:ind w:left="0" w:right="0" w:firstLine="44"/>
        <w:jc w:val="both"/>
        <w:rPr>
          <w:rFonts w:ascii="Times New Roman;serif" w:hAnsi="Times New Roman;serif"/>
          <w:b w:val="false"/>
          <w:color w:val="000000"/>
          <w:sz w:val="20"/>
        </w:rPr>
      </w:pPr>
      <w:r>
        <w:rPr>
          <w:rFonts w:ascii="Times New Roman;serif" w:hAnsi="Times New Roman;serif"/>
          <w:b w:val="false"/>
          <w:color w:val="000000"/>
          <w:sz w:val="20"/>
        </w:rPr>
        <w:t>On August 19, 2026, Ionic Digital Inc. (the “Company”) issued a press release announcing its financial results for the second quarter ending June 30, 2026. A copy of the press release is furnished as Exhibit 99.1 to this Current Report on Form 8-K.</w:t>
      </w:r>
    </w:p>
    <w:p>
      <w:pPr>
        <w:pStyle w:val="TextBody"/>
        <w:bidi w:val="0"/>
        <w:spacing w:lineRule="auto" w:line="288" w:before="120" w:after="120"/>
        <w:ind w:left="0" w:right="0" w:firstLine="44"/>
        <w:jc w:val="both"/>
        <w:rPr>
          <w:rFonts w:ascii="Times New Roman;serif" w:hAnsi="Times New Roman;serif"/>
          <w:b w:val="false"/>
          <w:color w:val="000000"/>
          <w:sz w:val="20"/>
        </w:rPr>
      </w:pPr>
      <w:r>
        <w:rPr>
          <w:rFonts w:ascii="Times New Roman;serif" w:hAnsi="Times New Roman;serif"/>
          <w:b w:val="false"/>
          <w:color w:val="000000"/>
          <w:sz w:val="20"/>
        </w:rPr>
        <w:t>The information furnished with this Item 2.02,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9.01 - Financial Statements and Exhibits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 The following exhibits are being filed herewith:</w:t>
      </w:r>
    </w:p>
    <w:p>
      <w:pPr>
        <w:pStyle w:val="TextBody"/>
        <w:bidi w:val="0"/>
        <w:spacing w:before="120" w:after="120"/>
        <w:jc w:val="left"/>
        <w:rPr/>
      </w:pPr>
      <w:r>
        <w:rPr/>
      </w:r>
    </w:p>
    <w:tbl>
      <w:tblPr>
        <w:tblW w:w="80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8"/>
        <w:gridCol w:w="1928"/>
        <w:gridCol w:w="274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pPr>
            <w:hyperlink w:anchor="ionicdigitalq22026ex991.htm">
              <w:r>
                <w:rPr>
                  <w:rStyle w:val="InternetLink"/>
                  <w:rFonts w:ascii="Times New Roman;serif" w:hAnsi="Times New Roman;serif"/>
                  <w:b/>
                  <w:color w:val="0000FF"/>
                  <w:sz w:val="20"/>
                  <w:u w:val="single"/>
                </w:rPr>
                <w:t>Earnings release issued by the Company dated August 19,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 on this 19th day of August, 2026.</w:t>
      </w:r>
    </w:p>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tbl>
      <w:tblPr>
        <w:tblW w:w="3189" w:type="dxa"/>
        <w:jc w:val="left"/>
        <w:tblInd w:w="0" w:type="dxa"/>
        <w:tblLayout w:type="fixed"/>
        <w:tblCellMar>
          <w:top w:w="28" w:type="dxa"/>
          <w:left w:w="28" w:type="dxa"/>
          <w:bottom w:w="28" w:type="dxa"/>
          <w:right w:w="28" w:type="dxa"/>
        </w:tblCellMar>
      </w:tblPr>
      <w:tblGrid>
        <w:gridCol w:w="124"/>
        <w:gridCol w:w="109"/>
        <w:gridCol w:w="109"/>
        <w:gridCol w:w="279"/>
        <w:gridCol w:w="279"/>
        <w:gridCol w:w="279"/>
        <w:gridCol w:w="585"/>
        <w:gridCol w:w="585"/>
        <w:gridCol w:w="8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Ionic Digital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Chris Hickman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Chris Hickman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36"/>
        </w:rPr>
      </w:pPr>
      <w:r>
        <w:rPr>
          <w:rFonts w:ascii="Arial;sans-serif" w:hAnsi="Arial;sans-serif"/>
          <w:b w:val="false"/>
          <w:color w:val="000000"/>
          <w:sz w:val="36"/>
        </w:rPr>
        <w:t xml:space="preserve">Ionic Digital Announces Second Quarter 2026 Results </w:t>
      </w:r>
    </w:p>
    <w:p>
      <w:pPr>
        <w:pStyle w:val="TextBody"/>
        <w:bidi w:val="0"/>
        <w:spacing w:before="0" w:after="0"/>
        <w:jc w:val="left"/>
        <w:rPr/>
      </w:pPr>
      <w:r>
        <w:rPr/>
      </w:r>
    </w:p>
    <w:p>
      <w:pPr>
        <w:pStyle w:val="TextBody"/>
        <w:bidi w:val="0"/>
        <w:spacing w:lineRule="auto" w:line="288" w:before="120" w:after="120"/>
        <w:jc w:val="center"/>
        <w:rPr>
          <w:rFonts w:ascii="Arial;sans-serif" w:hAnsi="Arial;sans-serif"/>
          <w:b w:val="false"/>
          <w:color w:val="000000"/>
          <w:sz w:val="22"/>
        </w:rPr>
      </w:pPr>
      <w:r>
        <w:rPr>
          <w:rFonts w:ascii="Arial;sans-serif" w:hAnsi="Arial;sans-serif"/>
          <w:b w:val="false"/>
          <w:color w:val="000000"/>
          <w:sz w:val="22"/>
        </w:rPr>
        <w:t>Cash payment commenced in August 2026 for 234 megawatts (MW) of operating capacity at Ward County campus</w:t>
      </w:r>
    </w:p>
    <w:p>
      <w:pPr>
        <w:pStyle w:val="TextBody"/>
        <w:bidi w:val="0"/>
        <w:spacing w:lineRule="auto" w:line="288" w:before="120" w:after="120"/>
        <w:jc w:val="center"/>
        <w:rPr>
          <w:rFonts w:ascii="Arial;sans-serif" w:hAnsi="Arial;sans-serif"/>
          <w:b w:val="false"/>
          <w:color w:val="000000"/>
          <w:sz w:val="22"/>
        </w:rPr>
      </w:pPr>
      <w:r>
        <w:rPr>
          <w:rFonts w:ascii="Arial;sans-serif" w:hAnsi="Arial;sans-serif"/>
          <w:b w:val="false"/>
          <w:color w:val="000000"/>
          <w:sz w:val="22"/>
        </w:rPr>
        <w:t>Progressing substation upgrades and pre-development work to expand capacity to 700 MW at Ward County campus</w:t>
      </w:r>
    </w:p>
    <w:p>
      <w:pPr>
        <w:pStyle w:val="TextBody"/>
        <w:bidi w:val="0"/>
        <w:spacing w:lineRule="auto" w:line="288" w:before="120" w:after="120"/>
        <w:jc w:val="center"/>
        <w:rPr>
          <w:rFonts w:ascii="Arial;sans-serif" w:hAnsi="Arial;sans-serif"/>
          <w:b w:val="false"/>
          <w:color w:val="000000"/>
          <w:sz w:val="22"/>
        </w:rPr>
      </w:pPr>
      <w:r>
        <w:rPr>
          <w:rFonts w:ascii="Arial;sans-serif" w:hAnsi="Arial;sans-serif"/>
          <w:b w:val="false"/>
          <w:color w:val="000000"/>
          <w:sz w:val="22"/>
        </w:rPr>
        <w:t xml:space="preserve">Substantial liquidity and no outstanding borrowings </w:t>
      </w:r>
    </w:p>
    <w:p>
      <w:pPr>
        <w:pStyle w:val="TextBody"/>
        <w:bidi w:val="0"/>
        <w:spacing w:before="120" w:after="120"/>
        <w:jc w:val="both"/>
        <w:rPr/>
      </w:pPr>
      <w:r>
        <w:rPr/>
      </w:r>
    </w:p>
    <w:p>
      <w:pPr>
        <w:pStyle w:val="TextBody"/>
        <w:bidi w:val="0"/>
        <w:spacing w:lineRule="auto" w:line="288" w:before="120" w:after="120"/>
        <w:jc w:val="both"/>
        <w:rPr/>
      </w:pPr>
      <w:r>
        <w:rPr>
          <w:rFonts w:ascii="Arial;sans-serif" w:hAnsi="Arial;sans-serif"/>
          <w:b/>
          <w:color w:val="000000"/>
          <w:sz w:val="22"/>
        </w:rPr>
        <w:t xml:space="preserve">WASHINGTON – August 19, 2026 </w:t>
      </w:r>
      <w:r>
        <w:rPr>
          <w:color w:val="000000"/>
        </w:rPr>
        <w:t xml:space="preserve">– </w:t>
      </w:r>
      <w:r>
        <w:rPr>
          <w:rFonts w:ascii="Arial;sans-serif" w:hAnsi="Arial;sans-serif"/>
          <w:b w:val="false"/>
          <w:color w:val="000000"/>
          <w:sz w:val="22"/>
        </w:rPr>
        <w:t>Ionic Digital Inc. (Nasdaq: IOND) (“Ionic Digital” or the “Company”) today announced financial results for the second quarter ended June 30, 2026.</w:t>
      </w:r>
    </w:p>
    <w:p>
      <w:pPr>
        <w:pStyle w:val="TextBody"/>
        <w:bidi w:val="0"/>
        <w:spacing w:lineRule="auto" w:line="288" w:before="120" w:after="120"/>
        <w:jc w:val="both"/>
        <w:rPr/>
      </w:pPr>
      <w:r>
        <w:rPr>
          <w:color w:val="000000"/>
        </w:rPr>
        <w:t>“</w:t>
      </w:r>
      <w:r>
        <w:rPr>
          <w:rFonts w:ascii="Arial;sans-serif" w:hAnsi="Arial;sans-serif"/>
          <w:b w:val="false"/>
          <w:color w:val="000000"/>
          <w:sz w:val="22"/>
        </w:rPr>
        <w:t>Our first earnings report as a public company follows energization of the first data center at our Ward County campus and the completion of our direct listing on Nasdaq on July 28, 2026,”</w:t>
      </w:r>
      <w:r>
        <w:rPr>
          <w:color w:val="000000"/>
        </w:rPr>
        <w:t xml:space="preserve"> </w:t>
      </w:r>
      <w:r>
        <w:rPr>
          <w:rFonts w:ascii="Arial;sans-serif" w:hAnsi="Arial;sans-serif"/>
          <w:b w:val="false"/>
          <w:color w:val="000000"/>
          <w:sz w:val="22"/>
        </w:rPr>
        <w:t xml:space="preserve">said Andy Stewart, Ionic Digital’s Chief Executive Officer. “Digital infrastructure leasing represented 90% of second quarter revenue, compared with none in the prior-year period, marking our transition from a bitcoin miner to an HPC and AI infrastructure company. </w:t>
      </w:r>
    </w:p>
    <w:p>
      <w:pPr>
        <w:pStyle w:val="TextBody"/>
        <w:bidi w:val="0"/>
        <w:spacing w:lineRule="auto" w:line="288" w:before="120" w:after="120"/>
        <w:jc w:val="both"/>
        <w:rPr>
          <w:color w:val="000000"/>
        </w:rPr>
      </w:pPr>
      <w:r>
        <w:rPr>
          <w:color w:val="000000"/>
        </w:rPr>
        <w:t>“</w:t>
      </w:r>
      <w:r>
        <w:rPr>
          <w:rFonts w:ascii="Arial;sans-serif" w:hAnsi="Arial;sans-serif"/>
          <w:b w:val="false"/>
          <w:color w:val="000000"/>
          <w:sz w:val="22"/>
        </w:rPr>
        <w:t>Our focus now turns to growth within the footprint we already control. At Ward County, 234 MW of existing capacity is contracted, and we are progressing the substation upgrades and pre-development work as planned to support expansion of the campus to 700 MW by the end of 2027, subject to ERCOT approval and completion of two utility infrastructure projects which are under construction. At Midland, we are working to convert 112 MW of existing capacity into data centers purpose-built for AI workloads, while those sites continue to mine bitcoin profitably. Beyond our current footprint, we are targeting metro-scale sites closer to the enterprise, where we believe the next wave of inference and agentic demand will be served.”</w:t>
      </w:r>
    </w:p>
    <w:p>
      <w:pPr>
        <w:pStyle w:val="TextBody"/>
        <w:bidi w:val="0"/>
        <w:spacing w:before="120" w:after="120"/>
        <w:jc w:val="both"/>
        <w:rPr/>
      </w:pPr>
      <w:r>
        <w:rPr/>
      </w:r>
    </w:p>
    <w:p>
      <w:pPr>
        <w:pStyle w:val="TextBody"/>
        <w:bidi w:val="0"/>
        <w:spacing w:lineRule="auto" w:line="288" w:before="120" w:after="120"/>
        <w:jc w:val="left"/>
        <w:rPr>
          <w:rFonts w:ascii="Arial;sans-serif" w:hAnsi="Arial;sans-serif"/>
          <w:b/>
          <w:color w:val="000000"/>
          <w:sz w:val="22"/>
        </w:rPr>
      </w:pPr>
      <w:r>
        <w:rPr>
          <w:rFonts w:ascii="Arial;sans-serif" w:hAnsi="Arial;sans-serif"/>
          <w:b/>
          <w:color w:val="000000"/>
          <w:sz w:val="22"/>
        </w:rPr>
        <w:t>Second Quarter 2026 Key Results</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2"/>
        </w:rPr>
        <w:t>Total revenue was $48.6 million, an increase of 31% year-over-year, and comprised of 90% digital infrastructure leasing revenue.</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2"/>
        </w:rPr>
        <w:t>Gross Profit was $40.5 million and Adjusted Gross Profit was $45.4 million, compared to $14.9 million in the prior year period, driven by revenue mix shift from cryptocurrency mining to digital infrastructure leasing.</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2"/>
        </w:rPr>
        <w:t>Net loss was $35.3 million, which includes $28.2 million non-cash loss on fair value of cryptocurrency and $27.2 million Provision for Income Taxes.</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2"/>
        </w:rPr>
        <w:t xml:space="preserve">Adjusted EBITDA was $37.6 million, compared to $3.8 million in the prior year period, due to revenue recognition of the Ward County lease.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2"/>
        </w:rPr>
        <w:t>Capital Expenditures were $5.8 million primarily related to equipment for the ongoing expansion of the Company’s substation at the Ward County campus.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left"/>
        <w:rPr>
          <w:rFonts w:ascii="Arial;sans-serif" w:hAnsi="Arial;sans-serif"/>
          <w:b/>
          <w:color w:val="000000"/>
          <w:sz w:val="22"/>
        </w:rPr>
      </w:pPr>
      <w:r>
        <w:rPr>
          <w:rFonts w:ascii="Arial;sans-serif" w:hAnsi="Arial;sans-serif"/>
          <w:b/>
          <w:color w:val="000000"/>
          <w:sz w:val="22"/>
        </w:rPr>
        <w:t>Ward County Expansion and Electric Reliability Council of Texas (ERCOT) Update</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Ionic Digital’s Ward County campus has been energized and operating since 2023, and the capacity to expand the campus to 700 MW was contracted with the Company's interconnecting utility in 2021, with the initial 234 MW phase of the project approved by ERCOT in 2022. Ionic Digital's request for the incremental 466 MW advances that long-standing agreement rather than seeking a new interconnection, and we believe the site's existing energization satisfies the definition for Base Load under ERCOT's planning criteria. The Company has executed its Engineering, Procurement, and Construction (EPC) contract and ordered the long lead-time transformers the expansion requires. Energization is expected by the end of 2027 and remains subject to ERCOT approval and completion of two utility infrastructure projects which are under construction.</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Ionic Digital supports Governor Abbott's efforts to promote responsible data center development in Texas and has committed to comply with applicable state requirements and to participate fully in the Public Utility Commission of Texas (PUCT) and ERCOT verification and audit process. The Company continues to work with ERCOT and the appropriate utilities regarding the remaining capacity associated with its energized facility.</w:t>
      </w:r>
    </w:p>
    <w:p>
      <w:pPr>
        <w:pStyle w:val="TextBody"/>
        <w:bidi w:val="0"/>
        <w:spacing w:before="120" w:after="120"/>
        <w:jc w:val="left"/>
        <w:rPr/>
      </w:pPr>
      <w:r>
        <w:rPr/>
      </w:r>
    </w:p>
    <w:p>
      <w:pPr>
        <w:pStyle w:val="TextBody"/>
        <w:bidi w:val="0"/>
        <w:spacing w:lineRule="auto" w:line="288" w:before="120" w:after="120"/>
        <w:jc w:val="left"/>
        <w:rPr>
          <w:rFonts w:ascii="Arial;sans-serif" w:hAnsi="Arial;sans-serif"/>
          <w:b/>
          <w:color w:val="000000"/>
          <w:sz w:val="22"/>
        </w:rPr>
      </w:pPr>
      <w:r>
        <w:rPr>
          <w:rFonts w:ascii="Arial;sans-serif" w:hAnsi="Arial;sans-serif"/>
          <w:b/>
          <w:color w:val="000000"/>
          <w:sz w:val="22"/>
        </w:rPr>
        <w:t xml:space="preserve">Liquidity </w:t>
      </w:r>
    </w:p>
    <w:p>
      <w:pPr>
        <w:pStyle w:val="TextBody"/>
        <w:bidi w:val="0"/>
        <w:spacing w:lineRule="auto" w:line="288" w:before="120" w:after="120"/>
        <w:jc w:val="left"/>
        <w:rPr/>
      </w:pPr>
      <w:r>
        <w:rPr>
          <w:rFonts w:ascii="Arial;sans-serif" w:hAnsi="Arial;sans-serif"/>
          <w:b w:val="false"/>
          <w:color w:val="000000"/>
          <w:sz w:val="22"/>
        </w:rPr>
        <w:t>As of June 30, 2026, Ionic Digital had on hand $415.7 million in cash and cash equivalents and 2,882</w:t>
      </w:r>
      <w:r>
        <w:rPr>
          <w:color w:val="EE2724"/>
        </w:rPr>
        <w:t xml:space="preserve"> </w:t>
      </w:r>
      <w:r>
        <w:rPr>
          <w:rFonts w:ascii="Arial;sans-serif" w:hAnsi="Arial;sans-serif"/>
          <w:b w:val="false"/>
          <w:color w:val="000000"/>
          <w:sz w:val="22"/>
        </w:rPr>
        <w:t>bitcoin valued at $168.7 million at that date. The Company had no outstanding borrowings as of June 30, 2026.</w:t>
      </w:r>
    </w:p>
    <w:p>
      <w:pPr>
        <w:pStyle w:val="TextBody"/>
        <w:bidi w:val="0"/>
        <w:spacing w:before="120" w:after="120"/>
        <w:jc w:val="left"/>
        <w:rPr/>
      </w:pPr>
      <w:r>
        <w:rPr/>
      </w:r>
    </w:p>
    <w:p>
      <w:pPr>
        <w:pStyle w:val="TextBody"/>
        <w:bidi w:val="0"/>
        <w:spacing w:lineRule="auto" w:line="288" w:before="120" w:after="120"/>
        <w:jc w:val="left"/>
        <w:rPr>
          <w:rFonts w:ascii="Arial;sans-serif" w:hAnsi="Arial;sans-serif"/>
          <w:b/>
          <w:color w:val="000000"/>
          <w:sz w:val="22"/>
        </w:rPr>
      </w:pPr>
      <w:r>
        <w:rPr>
          <w:rFonts w:ascii="Arial;sans-serif" w:hAnsi="Arial;sans-serif"/>
          <w:b/>
          <w:color w:val="000000"/>
          <w:sz w:val="22"/>
        </w:rPr>
        <w:t>2026 Outlook</w:t>
      </w:r>
    </w:p>
    <w:p>
      <w:pPr>
        <w:pStyle w:val="TextBody"/>
        <w:bidi w:val="0"/>
        <w:spacing w:lineRule="auto" w:line="288" w:before="120" w:after="120"/>
        <w:jc w:val="left"/>
        <w:rPr>
          <w:rFonts w:ascii="Arial;sans-serif" w:hAnsi="Arial;sans-serif"/>
          <w:b w:val="false"/>
          <w:color w:val="000000"/>
          <w:sz w:val="22"/>
        </w:rPr>
      </w:pPr>
      <w:r>
        <w:rPr>
          <w:rFonts w:ascii="Arial;sans-serif" w:hAnsi="Arial;sans-serif"/>
          <w:b w:val="false"/>
          <w:color w:val="000000"/>
          <w:sz w:val="22"/>
        </w:rPr>
        <w:t>Ionic Digital is reaffirming its full year 2026 outlook.</w:t>
      </w:r>
    </w:p>
    <w:tbl>
      <w:tblPr>
        <w:tblW w:w="7092" w:type="dxa"/>
        <w:jc w:val="left"/>
        <w:tblInd w:w="0" w:type="dxa"/>
        <w:tblLayout w:type="fixed"/>
        <w:tblCellMar>
          <w:top w:w="28" w:type="dxa"/>
          <w:left w:w="28" w:type="dxa"/>
          <w:bottom w:w="28" w:type="dxa"/>
          <w:right w:w="28" w:type="dxa"/>
        </w:tblCellMar>
      </w:tblPr>
      <w:tblGrid>
        <w:gridCol w:w="1553"/>
        <w:gridCol w:w="1362"/>
        <w:gridCol w:w="1364"/>
        <w:gridCol w:w="132"/>
        <w:gridCol w:w="132"/>
        <w:gridCol w:w="346"/>
        <w:gridCol w:w="285"/>
        <w:gridCol w:w="285"/>
        <w:gridCol w:w="285"/>
        <w:gridCol w:w="285"/>
        <w:gridCol w:w="109"/>
        <w:gridCol w:w="109"/>
        <w:gridCol w:w="109"/>
        <w:gridCol w:w="215"/>
        <w:gridCol w:w="215"/>
        <w:gridCol w:w="306"/>
      </w:tblGrid>
      <w:tr>
        <w:trPr/>
        <w:tc>
          <w:tcPr>
            <w:tcW w:w="155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1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Outlook</w:t>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in millions)</w:t>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486"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Full Year 2026</w:t>
            </w:r>
          </w:p>
        </w:tc>
        <w:tc>
          <w:tcPr>
            <w:tcW w:w="1063" w:type="dxa"/>
            <w:gridSpan w:val="6"/>
            <w:tcBorders/>
          </w:tcPr>
          <w:p>
            <w:pPr>
              <w:pStyle w:val="TableContents"/>
              <w:bidi w:val="0"/>
              <w:spacing w:before="0" w:after="283"/>
              <w:jc w:val="left"/>
              <w:rPr>
                <w:sz w:val="4"/>
                <w:szCs w:val="4"/>
              </w:rPr>
            </w:pPr>
            <w:r>
              <w:rPr>
                <w:sz w:val="4"/>
                <w:szCs w:val="4"/>
              </w:rPr>
            </w:r>
          </w:p>
        </w:tc>
      </w:tr>
      <w:tr>
        <w:trPr/>
        <w:tc>
          <w:tcPr>
            <w:tcW w:w="4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w:t>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$190</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$195</w:t>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Digital infrastructure leasing revenue</w:t>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92%</w:t>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Adjusted EBITDA</w:t>
            </w:r>
            <w:r>
              <w:rPr>
                <w:rFonts w:ascii="Arial;sans-serif" w:hAnsi="Arial;sans-serif"/>
                <w:b/>
                <w:color w:val="000000"/>
                <w:sz w:val="13"/>
              </w:rPr>
              <w:t>(1)</w:t>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$137.5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$142.5</w:t>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Capital Expenditures</w:t>
            </w:r>
            <w:r>
              <w:rPr>
                <w:rFonts w:ascii="Arial;sans-serif" w:hAnsi="Arial;sans-serif"/>
                <w:b/>
                <w:color w:val="000000"/>
                <w:sz w:val="13"/>
              </w:rPr>
              <w:t>(2)</w:t>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$60</w:t>
            </w:r>
          </w:p>
        </w:tc>
      </w:tr>
      <w:tr>
        <w:trPr/>
        <w:tc>
          <w:tcPr>
            <w:tcW w:w="4889"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0"/>
              </w:rPr>
              <w:t>(1)</w:t>
            </w:r>
            <w:r>
              <w:rPr>
                <w:color w:val="000000"/>
              </w:rPr>
              <w:t xml:space="preserve"> </w:t>
            </w:r>
            <w:r>
              <w:rPr>
                <w:rFonts w:ascii="Arial;sans-serif" w:hAnsi="Arial;sans-serif"/>
                <w:b w:val="false"/>
                <w:i/>
                <w:color w:val="000000"/>
                <w:sz w:val="16"/>
              </w:rPr>
              <w:t>see “Non-GAAP Financial Measures” below</w:t>
            </w:r>
          </w:p>
        </w:tc>
        <w:tc>
          <w:tcPr>
            <w:tcW w:w="2203" w:type="dxa"/>
            <w:gridSpan w:val="10"/>
            <w:tcBorders/>
          </w:tcPr>
          <w:p>
            <w:pPr>
              <w:pStyle w:val="TableContents"/>
              <w:bidi w:val="0"/>
              <w:spacing w:before="0" w:after="283"/>
              <w:jc w:val="left"/>
              <w:rPr>
                <w:sz w:val="4"/>
                <w:szCs w:val="4"/>
              </w:rPr>
            </w:pPr>
            <w:r>
              <w:rPr>
                <w:sz w:val="4"/>
                <w:szCs w:val="4"/>
              </w:rPr>
            </w:r>
          </w:p>
        </w:tc>
      </w:tr>
      <w:tr>
        <w:trPr/>
        <w:tc>
          <w:tcPr>
            <w:tcW w:w="4889"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0"/>
              </w:rPr>
              <w:t>(2)</w:t>
            </w:r>
            <w:r>
              <w:rPr>
                <w:color w:val="000000"/>
              </w:rPr>
              <w:t xml:space="preserve"> </w:t>
            </w:r>
            <w:r>
              <w:rPr>
                <w:rFonts w:ascii="Arial;sans-serif" w:hAnsi="Arial;sans-serif"/>
                <w:b w:val="false"/>
                <w:i/>
                <w:color w:val="000000"/>
                <w:sz w:val="16"/>
              </w:rPr>
              <w:t>excludes potential capital expenditures for new site acquisitions</w:t>
            </w:r>
          </w:p>
        </w:tc>
        <w:tc>
          <w:tcPr>
            <w:tcW w:w="2203" w:type="dxa"/>
            <w:gridSpan w:val="10"/>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 xml:space="preserve">Our taxes for the year ending December 31, 2026 cannot be reasonably predicted and do not necessarily correlate to the performance or operation of our business. Accordingly, we have not reconciled our estimated Adjusted EBITDA outlook to its most directly comparable GAAP measure, as it is not available without unreasonable effort. </w:t>
      </w:r>
    </w:p>
    <w:p>
      <w:pPr>
        <w:pStyle w:val="TextBody"/>
        <w:bidi w:val="0"/>
        <w:spacing w:before="120" w:after="120"/>
        <w:jc w:val="left"/>
        <w:rPr/>
      </w:pPr>
      <w:r>
        <w:rPr/>
      </w:r>
    </w:p>
    <w:p>
      <w:pPr>
        <w:pStyle w:val="TextBody"/>
        <w:bidi w:val="0"/>
        <w:spacing w:lineRule="auto" w:line="288" w:before="120" w:after="120"/>
        <w:jc w:val="left"/>
        <w:rPr>
          <w:rFonts w:ascii="Arial;sans-serif" w:hAnsi="Arial;sans-serif"/>
          <w:b/>
          <w:color w:val="000000"/>
          <w:sz w:val="22"/>
        </w:rPr>
      </w:pPr>
      <w:r>
        <w:rPr>
          <w:rFonts w:ascii="Arial;sans-serif" w:hAnsi="Arial;sans-serif"/>
          <w:b/>
          <w:color w:val="000000"/>
          <w:sz w:val="22"/>
        </w:rPr>
        <w:t>Conference Call and Investor Materials</w:t>
      </w:r>
    </w:p>
    <w:p>
      <w:pPr>
        <w:pStyle w:val="TextBody"/>
        <w:bidi w:val="0"/>
        <w:spacing w:lineRule="auto" w:line="288" w:before="120" w:after="120"/>
        <w:jc w:val="both"/>
        <w:rPr/>
      </w:pPr>
      <w:r>
        <w:rPr>
          <w:rFonts w:ascii="Arial;sans-serif" w:hAnsi="Arial;sans-serif"/>
          <w:b w:val="false"/>
          <w:color w:val="000000"/>
          <w:sz w:val="22"/>
        </w:rPr>
        <w:t>Ionic Digital will hold a conference call on Wednesday, August 19, 2026, at 5:00 p.m. ET. A webcast link to the conference call is available on the Events &amp; Presentations page under the Investor Relations section of the Company’s website. A replay</w:t>
      </w:r>
      <w:r>
        <w:rPr>
          <w:color w:val="EE2724"/>
        </w:rPr>
        <w:t xml:space="preserve"> </w:t>
      </w:r>
      <w:r>
        <w:rPr>
          <w:rFonts w:ascii="Arial;sans-serif" w:hAnsi="Arial;sans-serif"/>
          <w:b w:val="false"/>
          <w:color w:val="000000"/>
          <w:sz w:val="22"/>
        </w:rPr>
        <w:t xml:space="preserve">will be available on the same page following the call.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pPr>
      <w:r>
        <w:rPr>
          <w:rFonts w:ascii="Arial;sans-serif" w:hAnsi="Arial;sans-serif"/>
          <w:b w:val="false"/>
          <w:color w:val="000000"/>
          <w:sz w:val="22"/>
        </w:rPr>
        <w:t>The related presentation materials are now available on the Events &amp; Presentations</w:t>
      </w:r>
      <w:r>
        <w:rPr>
          <w:color w:val="467886"/>
        </w:rPr>
        <w:t xml:space="preserve"> </w:t>
      </w:r>
      <w:r>
        <w:rPr>
          <w:rFonts w:ascii="Arial;sans-serif" w:hAnsi="Arial;sans-serif"/>
          <w:b w:val="false"/>
          <w:color w:val="000000"/>
          <w:sz w:val="22"/>
        </w:rPr>
        <w:t xml:space="preserve">page under the Investor Relations section of the Company’s website. </w:t>
      </w:r>
    </w:p>
    <w:p>
      <w:pPr>
        <w:pStyle w:val="TextBody"/>
        <w:bidi w:val="0"/>
        <w:spacing w:before="120" w:after="120"/>
        <w:jc w:val="both"/>
        <w:rPr/>
      </w:pPr>
      <w:r>
        <w:rPr/>
      </w:r>
    </w:p>
    <w:p>
      <w:pPr>
        <w:pStyle w:val="TextBody"/>
        <w:bidi w:val="0"/>
        <w:spacing w:lineRule="auto" w:line="288" w:before="120" w:after="120"/>
        <w:jc w:val="both"/>
        <w:rPr>
          <w:rFonts w:ascii="Arial;sans-serif" w:hAnsi="Arial;sans-serif"/>
          <w:b/>
          <w:color w:val="000000"/>
          <w:sz w:val="22"/>
        </w:rPr>
      </w:pPr>
      <w:r>
        <w:rPr>
          <w:rFonts w:ascii="Arial;sans-serif" w:hAnsi="Arial;sans-serif"/>
          <w:b/>
          <w:color w:val="000000"/>
          <w:sz w:val="22"/>
        </w:rPr>
        <w:t xml:space="preserve">About Ionic Digital </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Ionic Digital is the fast-track provider of High-Performance Computing (HPC) and data center infrastructure, designed to drive stability in the rapidly evolving AI landscape. In an industry where constrained power and extended development timelines cause bottlenecks, Ionic Digital delivers certainty in performance, scalability and speed to market, providing fully ready assets and the rigorous due diligence required for the world’s most intensive AI workloads. Led by a seasoned team with deep experience developing hundreds of megawatts and raising billions in capital, Ionic Digital is the definitive, trusted foundation for the future of AI.</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To learn more, visit ionicdigital.com and follow us on X and LinkedIn.</w:t>
      </w:r>
    </w:p>
    <w:p>
      <w:pPr>
        <w:pStyle w:val="TextBody"/>
        <w:bidi w:val="0"/>
        <w:spacing w:before="120" w:after="120"/>
        <w:jc w:val="both"/>
        <w:rPr/>
      </w:pPr>
      <w:r>
        <w:rPr/>
      </w:r>
    </w:p>
    <w:p>
      <w:pPr>
        <w:pStyle w:val="TextBody"/>
        <w:bidi w:val="0"/>
        <w:spacing w:lineRule="auto" w:line="288" w:before="120" w:after="120"/>
        <w:jc w:val="both"/>
        <w:rPr>
          <w:rFonts w:ascii="Arial;sans-serif" w:hAnsi="Arial;sans-serif"/>
          <w:b/>
          <w:color w:val="000000"/>
          <w:sz w:val="22"/>
        </w:rPr>
      </w:pPr>
      <w:r>
        <w:rPr>
          <w:rFonts w:ascii="Arial;sans-serif" w:hAnsi="Arial;sans-serif"/>
          <w:b/>
          <w:color w:val="000000"/>
          <w:sz w:val="22"/>
        </w:rPr>
        <w:t>Investor Contacts: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Hannah Stuckey, Director of Investor Relations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hannah.stuckey@ionicdigital.com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Gateway Group</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ionic@gateway-grp.com</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pr@ionicdigital.com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This press release contains forward-looking statements within the meaning of applicable securities laws. Forward-looking statements include statements concerning plans, objectives, goals, strategies, future events or performance, and underlying assumptions, including Ionic Digital's Ward County Expansion, outlook for the year ending December 31, 2026, and other statements that are statements other than historical facts.</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When the Company and its management use words such as "may," "will," "intend," "should," "believe," "expect," "anticipate," "project," "estimate,” “plans,” or similar expressions that do not relate solely to historical matters, it is making forward-looking statements.</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 xml:space="preserve">Forward-looking statements are not guarantees of future performance and involve risks and uncertainties that may cause actual results to differ materially from the Company's expectations discussed in the forward-looking statements. These statements are subject to uncertainties and risks including, but not limited to, market conditions, competitive dynamics, regulatory changes, and other factors discussed in the "Risk Factors" section of the Company's prospectus and the Company’s other filings with the SEC. Forward-looking statements speak only as of the date of the release and the Company undertakes no obligation to update them except as required by law. </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For these reasons, among others, investors are cautioned not to place undue reliance upon any forward-looking statements in this press release. Additional factors are discussed in the Company's filings with the SEC, available at www.sec.gov.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Non-GAAP Financial Measures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We use certain financial measures that are not calculated in accordance with generally accepted accounting principles in the U.S. (“GAAP”) to supplement our condensed consolidated financial statements. These non-GAAP financial measures provide additional information to investors to facilitate comparisons of past and present operating results, identify trends in our underlying operating performance, and offer greater transparency on how we evaluate our business activities. These measures are integral to our processes for budgeting, managing operations, making strategic decisions, and evaluating our performance. Our primary non-GAAP financial measures are Adjusted gross profit and Adjusted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Adjusted gross profit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We define Adjusted gross profit as gross profit exclusive of depreciation. We rely on Adjusted gross profit to evaluate our business, measure our performance, and make strategic decisions. It is used by our Chief Operating Decision Maker (“CODM”) when making decisions regarding the allocation of resources to operating segments.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We believe that the presentation of this non-GAAP financial measure will provide useful information to investors and analysts in assessing the Company’s financial performance by excluding non-cash depreciation expense which is representative of historical investments and which we do not believe is indicative of our current operating performance. Gross profit is the GAAP measure most directly comparable to Adjusted gross profit. Our non-GAAP financial measures should not be considered as an alternative to the most directly comparable GAAP financial measures. You are encouraged to evaluate each of these adjustments and the reasons our management considers them appropriate for supplemental analysis.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following tables provide a reconciliation of Gross Profit to Adjusted Gross Profit:</w:t>
      </w:r>
    </w:p>
    <w:tbl>
      <w:tblPr>
        <w:tblW w:w="10039" w:type="dxa"/>
        <w:jc w:val="left"/>
        <w:tblInd w:w="0" w:type="dxa"/>
        <w:tblLayout w:type="fixed"/>
        <w:tblCellMar>
          <w:top w:w="28" w:type="dxa"/>
          <w:left w:w="28" w:type="dxa"/>
          <w:bottom w:w="28" w:type="dxa"/>
          <w:right w:w="28" w:type="dxa"/>
        </w:tblCellMar>
      </w:tblPr>
      <w:tblGrid>
        <w:gridCol w:w="1288"/>
        <w:gridCol w:w="1132"/>
        <w:gridCol w:w="1134"/>
        <w:gridCol w:w="269"/>
        <w:gridCol w:w="957"/>
        <w:gridCol w:w="139"/>
        <w:gridCol w:w="109"/>
        <w:gridCol w:w="109"/>
        <w:gridCol w:w="109"/>
        <w:gridCol w:w="269"/>
        <w:gridCol w:w="957"/>
        <w:gridCol w:w="139"/>
        <w:gridCol w:w="109"/>
        <w:gridCol w:w="109"/>
        <w:gridCol w:w="109"/>
        <w:gridCol w:w="245"/>
        <w:gridCol w:w="994"/>
        <w:gridCol w:w="126"/>
        <w:gridCol w:w="109"/>
        <w:gridCol w:w="109"/>
        <w:gridCol w:w="109"/>
        <w:gridCol w:w="266"/>
        <w:gridCol w:w="949"/>
        <w:gridCol w:w="194"/>
      </w:tblGrid>
      <w:tr>
        <w:trPr/>
        <w:tc>
          <w:tcPr>
            <w:tcW w:w="128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 in thousands)</w:t>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r>
      <w:tr>
        <w:trPr/>
        <w:tc>
          <w:tcPr>
            <w:tcW w:w="35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48,647 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37,192 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100,087 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78,273 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 excluding depreciation</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(22,256)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(9,337)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(47,469)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(16,917)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(10,479)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(33,374)</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profit (loss)</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40,475</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(1,981)</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80,271</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(2,570)</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16,917 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10,479 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33,374 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gross profit</w:t>
            </w:r>
          </w:p>
        </w:tc>
        <w:tc>
          <w:tcPr>
            <w:tcW w:w="269"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57"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45,378</w:t>
            </w:r>
            <w:r>
              <w:rPr>
                <w:color w:val="000000"/>
              </w:rPr>
              <w:t> </w:t>
            </w:r>
          </w:p>
        </w:tc>
        <w:tc>
          <w:tcPr>
            <w:tcW w:w="139"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57"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14,936</w:t>
            </w:r>
            <w:r>
              <w:rPr>
                <w:color w:val="000000"/>
              </w:rPr>
              <w:t> </w:t>
            </w:r>
          </w:p>
        </w:tc>
        <w:tc>
          <w:tcPr>
            <w:tcW w:w="139"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94"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90,750</w:t>
            </w:r>
            <w:r>
              <w:rPr>
                <w:color w:val="000000"/>
              </w:rPr>
              <w:t> </w:t>
            </w:r>
          </w:p>
        </w:tc>
        <w:tc>
          <w:tcPr>
            <w:tcW w:w="126"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49"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30,804</w:t>
            </w:r>
            <w:r>
              <w:rPr>
                <w:color w:val="000000"/>
              </w:rPr>
              <w:t> </w:t>
            </w:r>
          </w:p>
        </w:tc>
        <w:tc>
          <w:tcPr>
            <w:tcW w:w="194"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Adjusted EBITDA</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We define Adjusted EBITDA as net income (loss) before interest, taxes, depreciation, and amortization, further adjusted for certain items that management believes are not indicative of core operating performance, including unrealized gains or losses on energy derivatives and other investments, gains or losses on litigation settlements, stock-based compensation expense, impairment charges on intangible and long-lived assets, costs related to the decommissioning of cryptocurrency mining sites, and other such costs, as detailed in the table below. In addition, as explained below, beginning with this quarter, we also adjust Adjusted EBITDA to exclude realized and unrealized gains and losses on cryptocurrency and have recast historical periods to conform to this presentation.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We use Adjusted EBITDA to evaluate operating performance, allocate resources, and make strategic decisions, including assessing progress on our transition from bitcoin mining to digital infrastructure leasing. Adjusted EBITDA is used in internal forecasting and budgeting, in evaluating treasury management decisions, and in board-level discussions regarding capital structure, liquidity, and our ability to fund growth initiatives.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Our exclusion of realized and unrealized gains and losses on cryptocurrency from Adjusted EBITDA does not reverse or modify GAAP recognition and measurement principles. We exclude these amounts because they primarily reflect bitcoin market price fluctuations and treasury management decisions. We view our bitcoin holdings primarily as investments used to support liquidity and growth initiatives, rather than as components of our operations. Core operating performance is driven by factors such as hashrate performance, energy costs, miner efficiency, uptime, and revenues from digital infrastructure leasing activities. We include cryptocurrency received as revenue at the market price on the date of receipt, as this reflects value realized from core business activities. Decisions to hold or liquidate these assets are investment decisions, distinct from operating performance.</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We present Adjusted EBITDA because we believe it provides useful information to investors and analysts in assessing our historical financial performance. In particular, the exclusion of realized and unrealized gains and losses on cryptocurrency allows investors to evaluate operating performance on a basis more consistent with management’s view of our core business as we execute our strategic transition.</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Net income (loss) is the GAAP measure most directly comparable to Adjusted EBITDA. This non-GAAP measure should not be considered as an alternative to GAAP measures. We encourage you to evaluate each adjustment and the reasons management considers them appropriate. We may incur similar or unusual items in the future that could affect Adjusted EBITDA, and our presentation should not be construed as an inference that future results will be unaffected by such items. There can be no assurance that we will not modify the presentation of Adjusted EBITDA in the future, and any modification may be material. Adjusted EBITDA has important limitations as an analytical tool and should not be considered in isolation or as a substitute for GAAP results. It may be defined differently by other companies, limiting comparability.</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tables provide a reconciliation of Net income (loss) to Adjusted EBITDA:</w:t>
      </w:r>
    </w:p>
    <w:tbl>
      <w:tblPr>
        <w:tblW w:w="10205" w:type="dxa"/>
        <w:jc w:val="left"/>
        <w:tblInd w:w="0" w:type="dxa"/>
        <w:tblLayout w:type="fixed"/>
        <w:tblCellMar>
          <w:top w:w="28" w:type="dxa"/>
          <w:left w:w="28" w:type="dxa"/>
          <w:bottom w:w="28" w:type="dxa"/>
          <w:right w:w="28" w:type="dxa"/>
        </w:tblCellMar>
      </w:tblPr>
      <w:tblGrid>
        <w:gridCol w:w="1365"/>
        <w:gridCol w:w="992"/>
        <w:gridCol w:w="993"/>
        <w:gridCol w:w="270"/>
        <w:gridCol w:w="997"/>
        <w:gridCol w:w="139"/>
        <w:gridCol w:w="129"/>
        <w:gridCol w:w="129"/>
        <w:gridCol w:w="129"/>
        <w:gridCol w:w="277"/>
        <w:gridCol w:w="987"/>
        <w:gridCol w:w="143"/>
        <w:gridCol w:w="129"/>
        <w:gridCol w:w="129"/>
        <w:gridCol w:w="129"/>
        <w:gridCol w:w="270"/>
        <w:gridCol w:w="997"/>
        <w:gridCol w:w="139"/>
        <w:gridCol w:w="129"/>
        <w:gridCol w:w="129"/>
        <w:gridCol w:w="129"/>
        <w:gridCol w:w="276"/>
        <w:gridCol w:w="984"/>
        <w:gridCol w:w="215"/>
      </w:tblGrid>
      <w:tr>
        <w:trPr/>
        <w:tc>
          <w:tcPr>
            <w:tcW w:w="1365"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 in thousands)</w:t>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r>
      <w:tr>
        <w:trPr/>
        <w:tc>
          <w:tcPr>
            <w:tcW w:w="3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(35,305)</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31,914</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(48,289)</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3,883</w:t>
            </w: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27,248 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16,917 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10,479 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33,374 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Stock-based compensation expense</w:t>
            </w:r>
            <w:r>
              <w:rPr>
                <w:rFonts w:ascii="Arial;sans-serif" w:hAnsi="Arial;sans-serif"/>
                <w:b w:val="false"/>
                <w:color w:val="000000"/>
                <w:sz w:val="13"/>
              </w:rPr>
              <w:t>(1)</w:t>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15,438 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(gain) on fair value of cryptocurrency</w:t>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28,204 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(46,780)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81,527 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(1,332)</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gain on sale of cryptocurrency assets</w:t>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(14,796)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(32,410)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loss (gain) on the sale of property and equipment</w:t>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Direct listing and fee expenses</w:t>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Private placement issuance costs</w:t>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Loss on litigation settlement</w:t>
            </w:r>
            <w:r>
              <w:rPr>
                <w:rFonts w:ascii="Arial;sans-serif" w:hAnsi="Arial;sans-serif"/>
                <w:b w:val="false"/>
                <w:color w:val="000000"/>
                <w:sz w:val="13"/>
              </w:rPr>
              <w:t>(2)</w:t>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37,593</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3,765</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72,990</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12,277</w:t>
            </w: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 xml:space="preserve">(1) Stock-based compensation during the three and six months ended June 30, 2026 relates to restricted stock units and performance restricted stock units issued to employees and board members. There was no equivalent activity for the three and six months ended June 30, 2025.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i/>
                <w:color w:val="000000"/>
                <w:sz w:val="16"/>
              </w:rPr>
            </w:pPr>
            <w:r>
              <w:rPr>
                <w:rFonts w:ascii="Arial;sans-serif" w:hAnsi="Arial;sans-serif"/>
                <w:b w:val="false"/>
                <w:i/>
                <w:color w:val="000000"/>
                <w:sz w:val="16"/>
              </w:rPr>
              <w:t>(2) Loss on litigation settlement during the three and six months ended June 30, 2025 reflects a settlement to resolve shareholder actions. There was no equivalent activity for the three and six months ended June 30, 2026.</w:t>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854" w:type="dxa"/>
        <w:jc w:val="center"/>
        <w:tblInd w:w="0" w:type="dxa"/>
        <w:tblLayout w:type="fixed"/>
        <w:tblCellMar>
          <w:top w:w="28" w:type="dxa"/>
          <w:left w:w="28" w:type="dxa"/>
          <w:bottom w:w="28" w:type="dxa"/>
          <w:right w:w="28" w:type="dxa"/>
        </w:tblCellMar>
      </w:tblPr>
      <w:tblGrid>
        <w:gridCol w:w="1615"/>
        <w:gridCol w:w="1418"/>
        <w:gridCol w:w="1422"/>
        <w:gridCol w:w="272"/>
        <w:gridCol w:w="1048"/>
        <w:gridCol w:w="140"/>
        <w:gridCol w:w="140"/>
        <w:gridCol w:w="140"/>
        <w:gridCol w:w="140"/>
        <w:gridCol w:w="272"/>
        <w:gridCol w:w="1048"/>
        <w:gridCol w:w="199"/>
      </w:tblGrid>
      <w:tr>
        <w:trPr/>
        <w:tc>
          <w:tcPr>
            <w:tcW w:w="161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Prior Outlook</w:t>
            </w:r>
            <w:r>
              <w:rPr>
                <w:rFonts w:ascii="Arial;sans-serif" w:hAnsi="Arial;sans-serif"/>
                <w:b/>
                <w:color w:val="000000"/>
                <w:sz w:val="10"/>
              </w:rPr>
              <w:t>(1)</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 2026</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in thousands)</w:t>
            </w:r>
          </w:p>
        </w:tc>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Low</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High</w:t>
            </w:r>
          </w:p>
        </w:tc>
      </w:tr>
      <w:tr>
        <w:trPr/>
        <w:tc>
          <w:tcPr>
            <w:tcW w:w="4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(35,000)</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(34,000)</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26,500 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Loss on Fair Value of Cryptocurrency</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27,500 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Non-Recurring Legal Expenses</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Loss on Sale of Property and Equipment</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36,000</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37,000</w:t>
            </w: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0"/>
              </w:rPr>
              <w:t>(1)</w:t>
            </w:r>
            <w:r>
              <w:rPr>
                <w:color w:val="000000"/>
              </w:rPr>
              <w:t xml:space="preserve"> </w:t>
            </w:r>
            <w:r>
              <w:rPr>
                <w:rFonts w:ascii="Arial;sans-serif" w:hAnsi="Arial;sans-serif"/>
                <w:b w:val="false"/>
                <w:i/>
                <w:color w:val="000000"/>
                <w:sz w:val="16"/>
              </w:rPr>
              <w:t>issued July 21, 2026</w:t>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Our taxes for the year ending December 31, 2026 cannot be reasonably predicted and do not necessarily correlate to the performance or operation of our business. Accordingly, we have not reconciled our estimated Adjusted EBITDA outlook to its most directly comparable GAAP measure, as it is not available without unreasonable effort.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820"/>
        <w:gridCol w:w="2010"/>
        <w:gridCol w:w="2025"/>
        <w:gridCol w:w="259"/>
        <w:gridCol w:w="1052"/>
        <w:gridCol w:w="133"/>
        <w:gridCol w:w="133"/>
        <w:gridCol w:w="133"/>
        <w:gridCol w:w="133"/>
        <w:gridCol w:w="259"/>
        <w:gridCol w:w="1052"/>
        <w:gridCol w:w="196"/>
      </w:tblGrid>
      <w:tr>
        <w:trPr/>
        <w:tc>
          <w:tcPr>
            <w:tcW w:w="2820"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IONIC DIGITAL INC.</w:t>
              <w:br/>
              <w:t>CONDENSED CONSOLIDATED BALANCE SHEETS</w:t>
              <w:br/>
              <w:t>(Unaudited)</w:t>
              <w:br/>
              <w:t>(in thousands of US $, except share data)</w:t>
            </w:r>
          </w:p>
        </w:tc>
      </w:tr>
      <w:tr>
        <w:trPr/>
        <w:tc>
          <w:tcPr>
            <w:tcW w:w="6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Cash and cash equivalents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415,738 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43,510 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Cryptocurrency assets</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168,680 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237,947 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Other receivables, current (net of $— and $5.1 million allowance for credit losses as of June 30, 2026 and December 31, 2025, respectively) </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48,994 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10,460 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11,427 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Assets held for sale</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3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642,565 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303,344 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assets:</w:t>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65,641 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76,156 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initial direct leasing costs</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Other receivables, non-current (net of $3.3 million allowance for credit losses as of June 30, 2026 and December 31, 2025)</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Deposits and other non-current assets</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161,608 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161,608</w:t>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 net</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43,657 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54,470 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non-current assets</w:t>
            </w:r>
          </w:p>
        </w:tc>
        <w:tc>
          <w:tcPr>
            <w:tcW w:w="13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279,953 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301,660 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922,518 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605,004 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45"/>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digital infrastructure leasing revenue</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39,793 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25,167 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19,159 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3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26,345 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60,672 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liabilities:</w:t>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portion of lease liability</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Warrant liability</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34,061 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non-current liabilities</w:t>
            </w:r>
          </w:p>
        </w:tc>
        <w:tc>
          <w:tcPr>
            <w:tcW w:w="13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35,070 </w:t>
            </w:r>
          </w:p>
        </w:tc>
        <w:tc>
          <w:tcPr>
            <w:tcW w:w="1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25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61,415 </w:t>
            </w:r>
          </w:p>
        </w:tc>
        <w:tc>
          <w:tcPr>
            <w:tcW w:w="1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61,597 </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Mezzanine Capital</w:t>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Series A preferred stock,$0.00001 par value, 7,547,166 shares authorized, 7,547,166 issued and outstanding as of June 30, 2026</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350,547 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Stockholders’ Equity:</w:t>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Preferred stock, $0.00001 par value, 15,000,000 shares authorized, none issued and outstanding as of June 30, 2026 and December 31, 2025</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Series Z preferred stock, $0.00001 par value, 40,000 shares authorized, 40,000 issued and outstanding as of June 30, 2026</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Class A common stock, $0.00001 par value, 1,000,000,000 shares authorized, 37,374,261 shares issued and outstanding as of June 30, 2026 and December 31, 2025</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766,423 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750,985 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Retained earnings (deficit)</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(255,867)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(207,578)</w:t>
            </w:r>
          </w:p>
        </w:tc>
        <w:tc>
          <w:tcPr>
            <w:tcW w:w="19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131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510,556 </w:t>
            </w:r>
          </w:p>
        </w:tc>
        <w:tc>
          <w:tcPr>
            <w:tcW w:w="1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543,407 </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MEZZANINE CAPITAL, AND EQUITY</w:t>
            </w:r>
          </w:p>
        </w:tc>
        <w:tc>
          <w:tcPr>
            <w:tcW w:w="131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922,518 </w:t>
            </w:r>
          </w:p>
        </w:tc>
        <w:tc>
          <w:tcPr>
            <w:tcW w:w="1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605,004 </w:t>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77"/>
        <w:gridCol w:w="1346"/>
        <w:gridCol w:w="1359"/>
        <w:gridCol w:w="229"/>
        <w:gridCol w:w="846"/>
        <w:gridCol w:w="117"/>
        <w:gridCol w:w="111"/>
        <w:gridCol w:w="111"/>
        <w:gridCol w:w="111"/>
        <w:gridCol w:w="235"/>
        <w:gridCol w:w="837"/>
        <w:gridCol w:w="121"/>
        <w:gridCol w:w="111"/>
        <w:gridCol w:w="111"/>
        <w:gridCol w:w="111"/>
        <w:gridCol w:w="229"/>
        <w:gridCol w:w="846"/>
        <w:gridCol w:w="117"/>
        <w:gridCol w:w="111"/>
        <w:gridCol w:w="111"/>
        <w:gridCol w:w="111"/>
        <w:gridCol w:w="234"/>
        <w:gridCol w:w="834"/>
        <w:gridCol w:w="179"/>
      </w:tblGrid>
      <w:tr>
        <w:trPr/>
        <w:tc>
          <w:tcPr>
            <w:tcW w:w="1677"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IONIC DIGITAL INC.</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(Unaudited)</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(in thousands of US $, except per share data)</w:t>
            </w:r>
          </w:p>
        </w:tc>
      </w:tr>
      <w:tr>
        <w:trPr/>
        <w:tc>
          <w:tcPr>
            <w:tcW w:w="4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Cryptocurrency mining</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37,192 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78,273 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Digital infrastructure leasing</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w:t>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48,647 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37,192 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100,087 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78,273 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mining revenues, exclusive of depreciation</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47,469 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digital infrastructure solutions revenues, exclusive of depreciation</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33,374 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10,796 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17,907 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loss on fair value of cryptocurrency</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(46,780)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gain on sale of cryptocurrency assets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(14,796)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(32,410)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loss on sale of property and equipment</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4382"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4382"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 net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56,883 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(11,359)</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137,975 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65,487 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gain (loss)</w:t>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(8,236)</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48,551 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(37,888)</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12,786 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w:t>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loss on cryptocurrencies derivatives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4382"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litigation settlement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4382"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income</w:t>
            </w:r>
          </w:p>
        </w:tc>
        <w:tc>
          <w:tcPr>
            <w:tcW w:w="107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(7,850)</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506 </w:t>
            </w:r>
          </w:p>
        </w:tc>
        <w:tc>
          <w:tcPr>
            <w:tcW w:w="1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(7,509)</w:t>
            </w:r>
          </w:p>
        </w:tc>
        <w:tc>
          <w:tcPr>
            <w:tcW w:w="17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provision for income taxes</w:t>
            </w:r>
          </w:p>
        </w:tc>
        <w:tc>
          <w:tcPr>
            <w:tcW w:w="107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(8,057)</w:t>
            </w:r>
          </w:p>
        </w:tc>
        <w:tc>
          <w:tcPr>
            <w:tcW w:w="1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40,701 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(37,382)</w:t>
            </w:r>
          </w:p>
        </w:tc>
        <w:tc>
          <w:tcPr>
            <w:tcW w:w="1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5,277 </w:t>
            </w:r>
          </w:p>
        </w:tc>
        <w:tc>
          <w:tcPr>
            <w:tcW w:w="17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22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(35,305)</w:t>
            </w:r>
          </w:p>
        </w:tc>
        <w:tc>
          <w:tcPr>
            <w:tcW w:w="1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31,914 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(48,289)</w:t>
            </w:r>
          </w:p>
        </w:tc>
        <w:tc>
          <w:tcPr>
            <w:tcW w:w="1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3,883 </w:t>
            </w:r>
          </w:p>
        </w:tc>
        <w:tc>
          <w:tcPr>
            <w:tcW w:w="17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and diluted net income (loss) per share</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number of shares used in computing net loss per share, basic and diluted</w:t>
            </w:r>
          </w:p>
        </w:tc>
        <w:tc>
          <w:tcPr>
            <w:tcW w:w="1192" w:type="dxa"/>
            <w:gridSpan w:val="3"/>
            <w:tcBorders>
              <w:top w:val="single" w:sz="4" w:space="0" w:color="000000"/>
              <w:bottom w:val="sing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37,374,261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4" w:space="0" w:color="000000"/>
              <w:bottom w:val="sing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37,374,261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bottom w:val="sing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37,374,261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4" w:space="0" w:color="000000"/>
              <w:bottom w:val="sing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37,374,261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032"/>
        <w:gridCol w:w="1706"/>
        <w:gridCol w:w="1716"/>
        <w:gridCol w:w="382"/>
        <w:gridCol w:w="1552"/>
        <w:gridCol w:w="197"/>
        <w:gridCol w:w="197"/>
        <w:gridCol w:w="197"/>
        <w:gridCol w:w="197"/>
        <w:gridCol w:w="382"/>
        <w:gridCol w:w="1362"/>
        <w:gridCol w:w="285"/>
      </w:tblGrid>
      <w:tr>
        <w:trPr/>
        <w:tc>
          <w:tcPr>
            <w:tcW w:w="20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IONIC DIGITAL INC.</w:t>
              <w:br/>
              <w:t>CONDENSED CONSOLIDATED STATEMENTS OF CASH FLOWS</w:t>
              <w:br/>
              <w:t>(Unaudited)</w:t>
            </w:r>
          </w:p>
        </w:tc>
      </w:tr>
      <w:tr>
        <w:trPr/>
        <w:tc>
          <w:tcPr>
            <w:tcW w:w="5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1"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5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5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21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(48,289)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used in operating activities:</w:t>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Mining revenue received in bitcoin</w:t>
            </w:r>
          </w:p>
        </w:tc>
        <w:tc>
          <w:tcPr>
            <w:tcW w:w="1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(12,199)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(78,273)</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Hosting costs paid in bitcoin</w:t>
            </w:r>
          </w:p>
        </w:tc>
        <w:tc>
          <w:tcPr>
            <w:tcW w:w="1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33,384 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(gain) on the fair value of cryptocurrency assets</w:t>
            </w:r>
          </w:p>
        </w:tc>
        <w:tc>
          <w:tcPr>
            <w:tcW w:w="1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81,527 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(1,332)</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4"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r>
      <w:tr>
        <w:trPr/>
        <w:tc>
          <w:tcPr>
            <w:tcW w:w="5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gain on sale of cryptocurrency assets</w:t>
            </w:r>
          </w:p>
        </w:tc>
        <w:tc>
          <w:tcPr>
            <w:tcW w:w="1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(32,410)</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r>
      <w:tr>
        <w:trPr/>
        <w:tc>
          <w:tcPr>
            <w:tcW w:w="5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(gain) on sale of property and equipment</w:t>
            </w:r>
          </w:p>
        </w:tc>
        <w:tc>
          <w:tcPr>
            <w:tcW w:w="1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 loss on energy derivatives</w:t>
            </w:r>
          </w:p>
        </w:tc>
        <w:tc>
          <w:tcPr>
            <w:tcW w:w="1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4"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r>
      <w:tr>
        <w:trPr/>
        <w:tc>
          <w:tcPr>
            <w:tcW w:w="5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lease expense</w:t>
            </w:r>
          </w:p>
        </w:tc>
        <w:tc>
          <w:tcPr>
            <w:tcW w:w="1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1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15,438 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4"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r>
      <w:tr>
        <w:trPr/>
        <w:tc>
          <w:tcPr>
            <w:tcW w:w="5454"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r>
      <w:tr>
        <w:trPr/>
        <w:tc>
          <w:tcPr>
            <w:tcW w:w="5454"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r>
      <w:tr>
        <w:trPr/>
        <w:tc>
          <w:tcPr>
            <w:tcW w:w="5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 net</w:t>
            </w:r>
          </w:p>
        </w:tc>
        <w:tc>
          <w:tcPr>
            <w:tcW w:w="1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10,813 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assets and liabilities</w:t>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receivables</w:t>
            </w:r>
          </w:p>
        </w:tc>
        <w:tc>
          <w:tcPr>
            <w:tcW w:w="1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(38,593)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(797)</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4,461</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(7,501)</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4"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r>
      <w:tr>
        <w:trPr/>
        <w:tc>
          <w:tcPr>
            <w:tcW w:w="5454"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r>
      <w:tr>
        <w:trPr/>
        <w:tc>
          <w:tcPr>
            <w:tcW w:w="5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digital infrastructure leasing revenue</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(39,793)</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other accrued liabilities</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(10,785)</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9,827 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liabilities</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235</w:t>
            </w:r>
          </w:p>
        </w:tc>
      </w:tr>
      <w:tr>
        <w:trPr/>
        <w:tc>
          <w:tcPr>
            <w:tcW w:w="5454"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r>
      <w:tr>
        <w:trPr/>
        <w:tc>
          <w:tcPr>
            <w:tcW w:w="5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Net cash (used in) operating activities </w:t>
            </w:r>
          </w:p>
        </w:tc>
        <w:tc>
          <w:tcPr>
            <w:tcW w:w="1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(25,935)</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(71,255)</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(5,827)</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(4,152)</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the sale of mining equipment</w:t>
            </w:r>
          </w:p>
        </w:tc>
        <w:tc>
          <w:tcPr>
            <w:tcW w:w="1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r>
      <w:tr>
        <w:trPr/>
        <w:tc>
          <w:tcPr>
            <w:tcW w:w="5454"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r>
      <w:tr>
        <w:trPr/>
        <w:tc>
          <w:tcPr>
            <w:tcW w:w="5454"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r>
      <w:tr>
        <w:trPr/>
        <w:tc>
          <w:tcPr>
            <w:tcW w:w="5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from assets held for sale</w:t>
            </w:r>
          </w:p>
        </w:tc>
        <w:tc>
          <w:tcPr>
            <w:tcW w:w="1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 of cryptocurrency assets</w:t>
            </w:r>
          </w:p>
        </w:tc>
        <w:tc>
          <w:tcPr>
            <w:tcW w:w="1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64,238 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4"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r>
      <w:tr>
        <w:trPr/>
        <w:tc>
          <w:tcPr>
            <w:tcW w:w="5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Net cash provided by (used in) investing activities </w:t>
            </w:r>
          </w:p>
        </w:tc>
        <w:tc>
          <w:tcPr>
            <w:tcW w:w="1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(1,837)</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60,107 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4"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r>
      <w:tr>
        <w:trPr/>
        <w:tc>
          <w:tcPr>
            <w:tcW w:w="5454"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r>
      <w:tr>
        <w:trPr/>
        <w:tc>
          <w:tcPr>
            <w:tcW w:w="5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warrants</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34,061</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Proceeds from issuance of Series A preferred stock </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365,939</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454"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r>
      <w:tr>
        <w:trPr/>
        <w:tc>
          <w:tcPr>
            <w:tcW w:w="545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7"/>
              <w:jc w:val="left"/>
              <w:rPr>
                <w:rFonts w:ascii="Arial;sans-serif" w:hAnsi="Arial;sans-serif"/>
                <w:b/>
                <w:color w:val="000000"/>
                <w:sz w:val="20"/>
              </w:rPr>
            </w:pPr>
            <w:r>
              <w:rPr>
                <w:rFonts w:ascii="Arial;sans-serif" w:hAnsi="Arial;sans-serif"/>
                <w:b/>
                <w:color w:val="000000"/>
                <w:sz w:val="20"/>
              </w:rPr>
              <w:t xml:space="preserve">Net cash provided by financing activities </w:t>
            </w:r>
          </w:p>
        </w:tc>
        <w:tc>
          <w:tcPr>
            <w:tcW w:w="2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400,000</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(decrease) in cash and cash equivalents</w:t>
            </w:r>
          </w:p>
        </w:tc>
        <w:tc>
          <w:tcPr>
            <w:tcW w:w="1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372,228 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(11,148)</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7"/>
              <w:jc w:val="left"/>
              <w:rPr>
                <w:rFonts w:ascii="Arial;sans-serif" w:hAnsi="Arial;sans-serif"/>
                <w:b w:val="false"/>
                <w:color w:val="000000"/>
                <w:sz w:val="20"/>
              </w:rPr>
            </w:pPr>
            <w:r>
              <w:rPr>
                <w:rFonts w:ascii="Arial;sans-serif" w:hAnsi="Arial;sans-serif"/>
                <w:b w:val="false"/>
                <w:color w:val="000000"/>
                <w:sz w:val="20"/>
              </w:rPr>
              <w:t>Cash and cash equivalents at the beginning of the period</w:t>
            </w:r>
          </w:p>
        </w:tc>
        <w:tc>
          <w:tcPr>
            <w:tcW w:w="2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43,510</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48,393</w:t>
            </w:r>
          </w:p>
        </w:tc>
      </w:tr>
      <w:tr>
        <w:trPr/>
        <w:tc>
          <w:tcPr>
            <w:tcW w:w="545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7"/>
              <w:jc w:val="left"/>
              <w:rPr>
                <w:rFonts w:ascii="Arial;sans-serif" w:hAnsi="Arial;sans-serif"/>
                <w:b/>
                <w:color w:val="000000"/>
                <w:sz w:val="20"/>
              </w:rPr>
            </w:pPr>
            <w:r>
              <w:rPr>
                <w:rFonts w:ascii="Arial;sans-serif" w:hAnsi="Arial;sans-serif"/>
                <w:b/>
                <w:color w:val="000000"/>
                <w:sz w:val="20"/>
              </w:rPr>
              <w:t>Cash and cash equivalents at the end of the period</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415,738 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37,245 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schedule of non-cash financing and investing activities:</w:t>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Assumption of liability for the acquisition of PPE</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2,347</w:t>
            </w:r>
          </w:p>
        </w:tc>
      </w:tr>
      <w:tr>
        <w:trPr/>
        <w:tc>
          <w:tcPr>
            <w:tcW w:w="5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Private Placement Issuance Costs in accounts payable and accruals</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15,369</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454"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r>
      <w:tr>
        <w:trPr/>
        <w:tc>
          <w:tcPr>
            <w:tcW w:w="5454"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r>
      <w:tr>
        <w:trPr/>
        <w:tc>
          <w:tcPr>
            <w:tcW w:w="5454"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r>
      <w:tr>
        <w:trPr/>
        <w:tc>
          <w:tcPr>
            <w:tcW w:w="5454"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r>
      <w:tr>
        <w:trPr/>
        <w:tc>
          <w:tcPr>
            <w:tcW w:w="5454"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3676</Words>
  <Characters>21262</Characters>
  <CharactersWithSpaces>24566</CharactersWithSpaces>
  <Paragraphs>668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