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ionicdigis8072826.htm"/>
      <w:bookmarkStart w:id="1" w:name="ksionicdigis8072826"/>
      <w:bookmarkEnd w:id="0"/>
      <w:bookmarkEnd w:id="1"/>
      <w:r>
        <w:rPr>
          <w:b/>
        </w:rPr>
        <w:t>As filed with the Securities and Exchange Commission on July 30,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UNITED STATES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2"/>
        </w:rPr>
        <w:t>SECURITIES AND EXCHANGE COMMISSION</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S-8</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STATEMENT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SECURITIES ACT OF 1933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Ionic Digital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2660"/>
        <w:gridCol w:w="60"/>
        <w:gridCol w:w="1565"/>
      </w:tblGrid>
      <w:tr>
        <w:trPr/>
        <w:tc>
          <w:tcPr>
            <w:tcW w:w="2660" w:type="dxa"/>
            <w:tcBorders>
              <w:bottom w:val="single" w:sz="8"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center"/>
              <w:rPr>
                <w:b/>
                <w:sz w:val="20"/>
              </w:rPr>
            </w:pPr>
            <w:r>
              <w:rPr>
                <w:b/>
                <w:sz w:val="20"/>
              </w:rPr>
              <w:t>99-0565447</w:t>
            </w:r>
          </w:p>
        </w:tc>
      </w:tr>
      <w:tr>
        <w:trPr/>
        <w:tc>
          <w:tcPr>
            <w:tcW w:w="266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Massachusetts Avenue NW, 6th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District of Columbia 20001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Ionic Digital Inc. Omnibus Incentive Plan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(Full title of the plans)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Richard Carson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Counsel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Ionic Digital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Massachusetts Avenue NW, 6th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District of Columbia 20001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 (754) 273-6593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address and telephone number, including area code, of agent for service)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2360"/>
        <w:gridCol w:w="60"/>
        <w:gridCol w:w="3080"/>
      </w:tblGrid>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Andrew J. Ericksen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&amp; Case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 Main Street, Suite 2900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Texas 77002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(713) 496-9688</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Nussen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&amp; Case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555 South Flower Street, Suite 2700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 Angeles, California 90071-2433</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 (213) 620-7795</w:t>
            </w: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Proposed sales to take place as soon after the effective date of the registration statement as awards granted under the above-named plans are granted, exercised and/or distributed.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(this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is being filed by Ionic Digital Inc. (the “</w:t>
      </w:r>
      <w:r>
        <w:rPr>
          <w:rFonts w:ascii="Times New Roman;Times;Serif" w:hAnsi="Times New Roman;Times;Serif"/>
          <w:b/>
          <w:i/>
          <w:caps w:val="false"/>
          <w:smallCaps w:val="false"/>
          <w:sz w:val="20"/>
        </w:rPr>
        <w:t>Registrant</w:t>
      </w:r>
      <w:r>
        <w:rPr>
          <w:rFonts w:ascii="Times New Roman;Times;Serif" w:hAnsi="Times New Roman;Times;Serif"/>
          <w:b w:val="false"/>
          <w:i w:val="false"/>
          <w:caps w:val="false"/>
          <w:smallCaps w:val="false"/>
          <w:sz w:val="20"/>
        </w:rPr>
        <w:t>”) in order to register 7,227,152 shares of Class A common stock, par value $0.00001 per share, of the Registrant (“</w:t>
      </w: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reserved for issuance under the Ionic Digital Inc. Omnibus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REQUIRED IN THE SECTION 10(a)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called for in Part I of Form S-8 to be contained in the Section 10(a) prospectus is not being filed with or included in this Registration Statement (by incorporation by reference or otherwise) in accordance with the rules and regulations of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The documents containing the information specified in Part I of Form S-8 will be delivered to the participants in the equity benefit plans covered by this Registration Statement as specified by Rule 428(b)(1)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REQUIRED IN THE REGISTRATION STATEMENT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 Incorporation of Documents by Reference.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Registrant with the SEC are incorporated by reference into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(a) The Registrant’s prospectus filed with the SEC on July 28, 2026, pursuant to Rule 424(b) under the Securities Act, relating to the Registrant’s Registration Statement on </w:t>
      </w:r>
      <w:hyperlink r:id="rId2">
        <w:r>
          <w:rPr>
            <w:rStyle w:val="InternetLink"/>
            <w:rFonts w:ascii="Times New Roman;Times;Serif" w:hAnsi="Times New Roman;Times;Serif"/>
            <w:b w:val="false"/>
            <w:i w:val="false"/>
            <w:caps w:val="false"/>
            <w:smallCaps w:val="false"/>
            <w:sz w:val="20"/>
          </w:rPr>
          <w:t>Form S-1</w:t>
        </w:r>
      </w:hyperlink>
      <w:r>
        <w:rPr>
          <w:rFonts w:ascii="Times New Roman;Times;Serif" w:hAnsi="Times New Roman;Times;Serif"/>
          <w:b w:val="false"/>
          <w:i w:val="false"/>
          <w:caps w:val="false"/>
          <w:smallCaps w:val="false"/>
          <w:sz w:val="20"/>
        </w:rPr>
        <w:t xml:space="preserve"> as amended, initially filed with the SEC on June 29, 2026 (File No. 333-297125), which contains the Registrant’s audited financial statements for the latest fiscal year for which such statements have been filed;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(b) The description of the Registrant’s Class A common stock set forth in the Registrant’s registration statement on </w:t>
      </w:r>
      <w:hyperlink r:id="rId3">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 No. 001-41941), filed by the Registrant with the SEC under Section 12(b) of the Exchange Act on July 17, 2026, including any amendments or reports filed for the purpose of updating such description.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subsequently filed by the Registrant with the SEC pursuant to Sections 13(a), 13(c), 14 or 15(d) of the Exchange Act,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 Notwithstanding the foregoing, unless specifically stated to the contrary, none of the information that the Registrant discloses under Items 2.02 or 7.01 of any Current Report on Form 8-K or 8-K/A that it may from time to time furnish to the SEC or any other document or information deemed to have been furnished and not filed with the SEC will be incorporated by reference into, or otherwise included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including financial statements, contained in a document incorporated or deemed to be incorporated by reference herein shall be deemed to be modified or superseded for purposes of this Registration Statement to the extent that a statement contained herein or therein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4. Description of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description of the Registrant’s Class A Common Stock set forth in the Registrant’s Registration Statement on Form S-1, as amended (File No. 333-297125).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 Interests of Named Experts and Counsel.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6. Indemnification of Directors and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permits a corporation to include in its certificate of incorporation a provision eliminating or limiting the personal liability of directors and certain officers to the corporation or its stockholders for monetary damages for breach of fiduciary duty, subject to specified exceptions. Our amended and restated certificate of incorporation provides for such limitation of liability for directors and officers to the fullest extent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or her conduct was illegal. Where an officer or director is successful on the merits or otherwise in the defense of any action referred to above, the corporation must indemnify him against the expenses which such officer or director has actually and reasonably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and incurred by him in any such capacity, or arising out of his or her status as such, whether or not the corporation would otherwise have the power to indemnify him under Section 145.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amended and restated bylaws provide that we must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rights set forth above shall not be exclusive of any other right that an indemnified person may have or hereafter acquire under any statute, provision of our amended and restated certificate of incorporation, our amended and restated bylaws, agreement, vote of stockholders or disinterested directors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 Exemption from Registration Claimed.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9"/>
        <w:gridCol w:w="60"/>
        <w:gridCol w:w="9316"/>
      </w:tblGrid>
      <w:tr>
        <w:trPr/>
        <w:tc>
          <w:tcPr>
            <w:tcW w:w="829" w:type="dxa"/>
            <w:tcBorders/>
            <w:vAlign w:val="center"/>
          </w:tcPr>
          <w:p>
            <w:pPr>
              <w:pStyle w:val="TableContents"/>
              <w:bidi w:val="0"/>
              <w:spacing w:before="0" w:after="283"/>
              <w:jc w:val="left"/>
              <w:rPr>
                <w:b/>
                <w:sz w:val="20"/>
              </w:rPr>
            </w:pPr>
            <w:r>
              <w:rPr>
                <w:b/>
                <w:sz w:val="20"/>
              </w:rPr>
              <w:t>Exhibit No.</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both"/>
              <w:rPr>
                <w:b/>
                <w:sz w:val="20"/>
              </w:rPr>
            </w:pPr>
            <w:r>
              <w:rPr>
                <w:b/>
                <w:sz w:val="20"/>
              </w:rPr>
              <w:t>Description of Exhibit</w:t>
            </w:r>
          </w:p>
        </w:tc>
      </w:tr>
      <w:tr>
        <w:trPr/>
        <w:tc>
          <w:tcPr>
            <w:tcW w:w="829" w:type="dxa"/>
            <w:tcBorders>
              <w:top w:val="single" w:sz="8" w:space="0" w:color="000000"/>
            </w:tcBorders>
            <w:tcMar>
              <w:top w:w="28" w:type="dxa"/>
            </w:tcMar>
            <w:vAlign w:val="center"/>
          </w:tcPr>
          <w:p>
            <w:pPr>
              <w:pStyle w:val="TableContents"/>
              <w:bidi w:val="0"/>
              <w:spacing w:before="0" w:after="283"/>
              <w:jc w:val="left"/>
              <w:rPr>
                <w:sz w:val="20"/>
              </w:rPr>
            </w:pPr>
            <w:r>
              <w:rPr>
                <w:sz w:val="20"/>
              </w:rPr>
              <w:t>4.1</w:t>
            </w:r>
          </w:p>
        </w:tc>
        <w:tc>
          <w:tcPr>
            <w:tcW w:w="60" w:type="dxa"/>
            <w:tcBorders/>
            <w:vAlign w:val="center"/>
          </w:tcPr>
          <w:p>
            <w:pPr>
              <w:pStyle w:val="TableContents"/>
              <w:bidi w:val="0"/>
              <w:spacing w:before="0" w:after="283"/>
              <w:jc w:val="left"/>
              <w:rPr/>
            </w:pPr>
            <w:r>
              <w:rPr/>
              <w:t> </w:t>
            </w:r>
          </w:p>
        </w:tc>
        <w:tc>
          <w:tcPr>
            <w:tcW w:w="9316" w:type="dxa"/>
            <w:tcBorders>
              <w:top w:val="single" w:sz="8" w:space="0" w:color="000000"/>
            </w:tcBorders>
            <w:tcMar>
              <w:top w:w="28" w:type="dxa"/>
            </w:tcMar>
            <w:vAlign w:val="center"/>
          </w:tcPr>
          <w:p>
            <w:pPr>
              <w:pStyle w:val="TableContents"/>
              <w:bidi w:val="0"/>
              <w:spacing w:before="0" w:after="283"/>
              <w:jc w:val="both"/>
              <w:rPr/>
            </w:pPr>
            <w:hyperlink r:id="rId4">
              <w:r>
                <w:rPr>
                  <w:rStyle w:val="InternetLink"/>
                  <w:sz w:val="20"/>
                </w:rPr>
                <w:t>Amended and Restated Certificate of Incorporation of Ionic Digital Inc. (incorporated by reference to Exhibit 3.1 to the Registrant’s Registration Statement on Form S-1 filed with the SEC on June 29, 2026).</w:t>
              </w:r>
            </w:hyperlink>
          </w:p>
        </w:tc>
      </w:tr>
      <w:tr>
        <w:trPr/>
        <w:tc>
          <w:tcPr>
            <w:tcW w:w="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both"/>
              <w:rPr/>
            </w:pPr>
            <w:r>
              <w:rPr/>
              <w:t> </w:t>
            </w:r>
          </w:p>
        </w:tc>
      </w:tr>
      <w:tr>
        <w:trPr/>
        <w:tc>
          <w:tcPr>
            <w:tcW w:w="829" w:type="dxa"/>
            <w:tcBorders/>
            <w:vAlign w:val="center"/>
          </w:tcPr>
          <w:p>
            <w:pPr>
              <w:pStyle w:val="TableContents"/>
              <w:bidi w:val="0"/>
              <w:spacing w:before="0" w:after="283"/>
              <w:jc w:val="left"/>
              <w:rPr>
                <w:sz w:val="20"/>
              </w:rPr>
            </w:pPr>
            <w:r>
              <w:rPr>
                <w:sz w:val="20"/>
              </w:rPr>
              <w:t>4.2</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both"/>
              <w:rPr/>
            </w:pPr>
            <w:hyperlink r:id="rId5">
              <w:r>
                <w:rPr>
                  <w:rStyle w:val="InternetLink"/>
                  <w:sz w:val="20"/>
                </w:rPr>
                <w:t>Amended and Restated Bylaws of Ionic Digital Inc. (Effective February 13, 2025) (incorporated by reference to Exhibit 3.2 to the Registrant’s Registration Statement on Form S-1 filed with the SEC on June 29, 2026).</w:t>
              </w:r>
            </w:hyperlink>
          </w:p>
        </w:tc>
      </w:tr>
      <w:tr>
        <w:trPr/>
        <w:tc>
          <w:tcPr>
            <w:tcW w:w="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both"/>
              <w:rPr/>
            </w:pPr>
            <w:r>
              <w:rPr/>
              <w:t> </w:t>
            </w:r>
          </w:p>
        </w:tc>
      </w:tr>
      <w:tr>
        <w:trPr/>
        <w:tc>
          <w:tcPr>
            <w:tcW w:w="829" w:type="dxa"/>
            <w:tcBorders/>
            <w:vAlign w:val="center"/>
          </w:tcPr>
          <w:p>
            <w:pPr>
              <w:pStyle w:val="TableContents"/>
              <w:bidi w:val="0"/>
              <w:spacing w:before="0" w:after="283"/>
              <w:jc w:val="left"/>
              <w:rPr>
                <w:sz w:val="20"/>
              </w:rPr>
            </w:pPr>
            <w:r>
              <w:rPr>
                <w:sz w:val="20"/>
              </w:rPr>
              <w:t>10.1</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both"/>
              <w:rPr/>
            </w:pPr>
            <w:hyperlink r:id="rId6">
              <w:r>
                <w:rPr>
                  <w:rStyle w:val="InternetLink"/>
                  <w:sz w:val="20"/>
                </w:rPr>
                <w:t>Ionic Digital Inc. Omnibus Incentive Plan (incorporated by reference to Exhibit 10.5 to the Registrant’s Registration Statement on Form S-1 filed with the SEC on June 29, 2026).</w:t>
              </w:r>
            </w:hyperlink>
          </w:p>
        </w:tc>
      </w:tr>
      <w:tr>
        <w:trPr/>
        <w:tc>
          <w:tcPr>
            <w:tcW w:w="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both"/>
              <w:rPr/>
            </w:pPr>
            <w:r>
              <w:rPr/>
              <w:t> </w:t>
            </w:r>
          </w:p>
        </w:tc>
      </w:tr>
      <w:tr>
        <w:trPr/>
        <w:tc>
          <w:tcPr>
            <w:tcW w:w="829" w:type="dxa"/>
            <w:tcBorders/>
            <w:vAlign w:val="center"/>
          </w:tcPr>
          <w:p>
            <w:pPr>
              <w:pStyle w:val="TableContents"/>
              <w:bidi w:val="0"/>
              <w:spacing w:before="0" w:after="283"/>
              <w:jc w:val="left"/>
              <w:rPr>
                <w:sz w:val="20"/>
              </w:rPr>
            </w:pPr>
            <w:r>
              <w:rPr>
                <w:sz w:val="20"/>
              </w:rPr>
              <w:t>5.1*</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both"/>
              <w:rPr/>
            </w:pPr>
            <w:hyperlink w:anchor="ionicdigiex5-1.htm">
              <w:r>
                <w:rPr>
                  <w:rStyle w:val="InternetLink"/>
                  <w:sz w:val="20"/>
                </w:rPr>
                <w:t>Opinion of White &amp; Case LLP.</w:t>
              </w:r>
            </w:hyperlink>
          </w:p>
        </w:tc>
      </w:tr>
      <w:tr>
        <w:trPr/>
        <w:tc>
          <w:tcPr>
            <w:tcW w:w="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both"/>
              <w:rPr/>
            </w:pPr>
            <w:r>
              <w:rPr/>
              <w:t> </w:t>
            </w:r>
          </w:p>
        </w:tc>
      </w:tr>
      <w:tr>
        <w:trPr/>
        <w:tc>
          <w:tcPr>
            <w:tcW w:w="829" w:type="dxa"/>
            <w:tcBorders/>
            <w:vAlign w:val="center"/>
          </w:tcPr>
          <w:p>
            <w:pPr>
              <w:pStyle w:val="TableContents"/>
              <w:bidi w:val="0"/>
              <w:spacing w:before="0" w:after="283"/>
              <w:jc w:val="left"/>
              <w:rPr>
                <w:sz w:val="20"/>
              </w:rPr>
            </w:pPr>
            <w:r>
              <w:rPr>
                <w:sz w:val="20"/>
              </w:rPr>
              <w:t>23.1*</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both"/>
              <w:rPr/>
            </w:pPr>
            <w:hyperlink w:anchor="ionicdigiex23-1.htm">
              <w:r>
                <w:rPr>
                  <w:rStyle w:val="InternetLink"/>
                  <w:sz w:val="20"/>
                </w:rPr>
                <w:t>Consent of BDO USA, P.C.</w:t>
              </w:r>
            </w:hyperlink>
          </w:p>
        </w:tc>
      </w:tr>
      <w:tr>
        <w:trPr/>
        <w:tc>
          <w:tcPr>
            <w:tcW w:w="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both"/>
              <w:rPr/>
            </w:pPr>
            <w:r>
              <w:rPr/>
              <w:t> </w:t>
            </w:r>
          </w:p>
        </w:tc>
      </w:tr>
      <w:tr>
        <w:trPr/>
        <w:tc>
          <w:tcPr>
            <w:tcW w:w="829" w:type="dxa"/>
            <w:tcBorders/>
            <w:vAlign w:val="center"/>
          </w:tcPr>
          <w:p>
            <w:pPr>
              <w:pStyle w:val="TableContents"/>
              <w:bidi w:val="0"/>
              <w:spacing w:before="0" w:after="283"/>
              <w:jc w:val="left"/>
              <w:rPr>
                <w:sz w:val="20"/>
              </w:rPr>
            </w:pPr>
            <w:r>
              <w:rPr>
                <w:sz w:val="20"/>
              </w:rPr>
              <w:t>23.2*</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both"/>
              <w:rPr/>
            </w:pPr>
            <w:hyperlink w:anchor="ionicdigiex5-1.htm">
              <w:r>
                <w:rPr>
                  <w:rStyle w:val="InternetLink"/>
                  <w:sz w:val="20"/>
                </w:rPr>
                <w:t>Consent of White &amp; Case LLP (included in Exhibit 5.1).</w:t>
              </w:r>
            </w:hyperlink>
          </w:p>
        </w:tc>
      </w:tr>
      <w:tr>
        <w:trPr/>
        <w:tc>
          <w:tcPr>
            <w:tcW w:w="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both"/>
              <w:rPr/>
            </w:pPr>
            <w:r>
              <w:rPr/>
              <w:t> </w:t>
            </w:r>
          </w:p>
        </w:tc>
      </w:tr>
      <w:tr>
        <w:trPr/>
        <w:tc>
          <w:tcPr>
            <w:tcW w:w="829" w:type="dxa"/>
            <w:tcBorders/>
            <w:vAlign w:val="center"/>
          </w:tcPr>
          <w:p>
            <w:pPr>
              <w:pStyle w:val="TableContents"/>
              <w:bidi w:val="0"/>
              <w:spacing w:before="0" w:after="283"/>
              <w:jc w:val="left"/>
              <w:rPr>
                <w:sz w:val="20"/>
              </w:rPr>
            </w:pPr>
            <w:r>
              <w:rPr>
                <w:sz w:val="20"/>
              </w:rPr>
              <w:t>24.1*</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both"/>
              <w:rPr/>
            </w:pPr>
            <w:hyperlink w:anchor="a_001">
              <w:r>
                <w:rPr>
                  <w:rStyle w:val="InternetLink"/>
                  <w:sz w:val="20"/>
                </w:rPr>
                <w:t>Power of Attorney (included on the signature page hereto).</w:t>
              </w:r>
            </w:hyperlink>
          </w:p>
        </w:tc>
      </w:tr>
      <w:tr>
        <w:trPr/>
        <w:tc>
          <w:tcPr>
            <w:tcW w:w="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both"/>
              <w:rPr/>
            </w:pPr>
            <w:r>
              <w:rPr/>
              <w:t> </w:t>
            </w:r>
          </w:p>
        </w:tc>
      </w:tr>
      <w:tr>
        <w:trPr/>
        <w:tc>
          <w:tcPr>
            <w:tcW w:w="829" w:type="dxa"/>
            <w:tcBorders/>
            <w:vAlign w:val="center"/>
          </w:tcPr>
          <w:p>
            <w:pPr>
              <w:pStyle w:val="TableContents"/>
              <w:bidi w:val="0"/>
              <w:spacing w:before="0" w:after="283"/>
              <w:jc w:val="left"/>
              <w:rPr>
                <w:sz w:val="20"/>
              </w:rPr>
            </w:pPr>
            <w:r>
              <w:rPr>
                <w:sz w:val="20"/>
              </w:rPr>
              <w:t>107*</w:t>
            </w:r>
          </w:p>
        </w:tc>
        <w:tc>
          <w:tcPr>
            <w:tcW w:w="60"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both"/>
              <w:rPr/>
            </w:pPr>
            <w:hyperlink w:anchor="ionicdigiex-fee.htm">
              <w:r>
                <w:rPr>
                  <w:rStyle w:val="InternetLink"/>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555" w:type="dxa"/>
        <w:jc w:val="left"/>
        <w:tblInd w:w="0" w:type="dxa"/>
        <w:tblLayout w:type="fixed"/>
        <w:tblCellMar>
          <w:top w:w="0" w:type="dxa"/>
          <w:left w:w="0" w:type="dxa"/>
          <w:bottom w:w="0" w:type="dxa"/>
          <w:right w:w="0" w:type="dxa"/>
        </w:tblCellMar>
      </w:tblPr>
      <w:tblGrid>
        <w:gridCol w:w="155"/>
        <w:gridCol w:w="1400"/>
      </w:tblGrid>
      <w:tr>
        <w:trPr/>
        <w:tc>
          <w:tcPr>
            <w:tcW w:w="155"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both"/>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 Undertakings.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 in the effective Registration Statement;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and (a)(1)(ii) do not apply if this Registration Statement is on Form S-8 and the information required to be included in a post-effective amendment by those paragraphs is contained in periodic reports filed with or furnished to the SEC by the Registrant pursuant to Section 13 or Section 15(d) of the Exchange Act that are incorporated by reference in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Company certifies that it has reasonable grounds to believe that it meets all the requirements for filing on Form S-8 and has duly caused this registration statement to be signed on its behalf by the undersigned, thereunto duly authorized, on this 30th day of July, 2026.</w:t>
      </w:r>
    </w:p>
    <w:p>
      <w:pPr>
        <w:pStyle w:val="TextBody"/>
        <w:bidi w:val="0"/>
        <w:spacing w:before="0" w:after="0"/>
        <w:ind w:left="0" w:right="0" w:firstLine="72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590"/>
        <w:gridCol w:w="2000"/>
      </w:tblGrid>
      <w:tr>
        <w:trPr/>
        <w:tc>
          <w:tcPr>
            <w:tcW w:w="7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b/>
                <w:sz w:val="20"/>
              </w:rPr>
            </w:pPr>
            <w:r>
              <w:rPr>
                <w:b/>
                <w:sz w:val="20"/>
              </w:rPr>
              <w:t>Ionic Digital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200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Andy Stewart</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2000" w:type="dxa"/>
            <w:tcBorders/>
            <w:vAlign w:val="center"/>
          </w:tcPr>
          <w:p>
            <w:pPr>
              <w:pStyle w:val="TableContents"/>
              <w:bidi w:val="0"/>
              <w:spacing w:before="0" w:after="283"/>
              <w:jc w:val="left"/>
              <w:rPr>
                <w:sz w:val="20"/>
              </w:rPr>
            </w:pPr>
            <w:r>
              <w:rPr>
                <w:sz w:val="20"/>
              </w:rPr>
              <w:t xml:space="preserve">Andy Stewart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2000" w:type="dxa"/>
            <w:tcBorders/>
            <w:vAlign w:val="center"/>
          </w:tcPr>
          <w:p>
            <w:pPr>
              <w:pStyle w:val="TableContents"/>
              <w:bidi w:val="0"/>
              <w:spacing w:before="0" w:after="283"/>
              <w:jc w:val="left"/>
              <w:rPr>
                <w:sz w:val="20"/>
              </w:rPr>
            </w:pPr>
            <w:r>
              <w:rPr>
                <w:sz w:val="20"/>
              </w:rPr>
              <w:t xml:space="preserve">Chief Executive Officer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 xml:space="preserve">POWER OF ATTORNEY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each of Andy Stewart and Chris Hickman and each of them acting individually, as his or her true and lawful attorneys-in-fact and agents, each with full power of substitution and resubstitution in each of them singly, for such person and in such person’s name, place and stead, and in any and all capacities, to sign any and all amendments (including post-effective amendments) to this Registration Statement, and to file the same, with all exhibits thereto, and other documents in connection therewith, with the SEC, granting to the attorneys-in-fact and agents, and each of them, full power and authority to do and perform each and every act and thing requisite or necessary to be done in or about the premises, as fully to all intents and purposes as such person might, or could do in person, hereby ratifying and confirming all that the attorneys-in-fact and agents or any of each of them or their substitutes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indicated on the 30th day of July, 2026.</w:t>
      </w:r>
    </w:p>
    <w:p>
      <w:pPr>
        <w:pStyle w:val="TextBody"/>
        <w:bidi w:val="0"/>
        <w:spacing w:before="0" w:after="0"/>
        <w:ind w:left="0" w:right="0" w:hanging="0"/>
        <w:jc w:val="center"/>
        <w:rPr>
          <w:caps w:val="false"/>
          <w:smallCaps w:val="false"/>
        </w:rPr>
      </w:pPr>
      <w:r>
        <w:rPr>
          <w:caps w:val="false"/>
          <w:smallCaps w:val="false"/>
        </w:rPr>
        <w:t> </w:t>
      </w:r>
    </w:p>
    <w:tbl>
      <w:tblPr>
        <w:tblW w:w="6765" w:type="dxa"/>
        <w:jc w:val="left"/>
        <w:tblInd w:w="0" w:type="dxa"/>
        <w:tblLayout w:type="fixed"/>
        <w:tblCellMar>
          <w:top w:w="0" w:type="dxa"/>
          <w:left w:w="0" w:type="dxa"/>
          <w:bottom w:w="28" w:type="dxa"/>
          <w:right w:w="0" w:type="dxa"/>
        </w:tblCellMar>
      </w:tblPr>
      <w:tblGrid>
        <w:gridCol w:w="1760"/>
        <w:gridCol w:w="60"/>
        <w:gridCol w:w="3740"/>
        <w:gridCol w:w="60"/>
        <w:gridCol w:w="1145"/>
      </w:tblGrid>
      <w:tr>
        <w:trPr/>
        <w:tc>
          <w:tcPr>
            <w:tcW w:w="1760" w:type="dxa"/>
            <w:tcBorders>
              <w:bottom w:val="single" w:sz="8" w:space="0" w:color="000000"/>
            </w:tcBorders>
            <w:vAlign w:val="center"/>
          </w:tcPr>
          <w:p>
            <w:pPr>
              <w:pStyle w:val="TableContents"/>
              <w:bidi w:val="0"/>
              <w:spacing w:before="0" w:after="283"/>
              <w:jc w:val="left"/>
              <w:rPr>
                <w:sz w:val="20"/>
              </w:rPr>
            </w:pPr>
            <w:r>
              <w:rPr>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740" w:type="dxa"/>
            <w:tcBorders>
              <w:bottom w:val="single" w:sz="8" w:space="0" w:color="000000"/>
            </w:tcBorders>
            <w:vAlign w:val="center"/>
          </w:tcPr>
          <w:p>
            <w:pPr>
              <w:pStyle w:val="TableContents"/>
              <w:bidi w:val="0"/>
              <w:spacing w:before="0" w:after="283"/>
              <w:jc w:val="center"/>
              <w:rPr>
                <w:sz w:val="20"/>
              </w:rPr>
            </w:pPr>
            <w:r>
              <w:rPr>
                <w:sz w:val="20"/>
              </w:rPr>
              <w:t>Title</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8" w:space="0" w:color="000000"/>
            </w:tcBorders>
            <w:vAlign w:val="center"/>
          </w:tcPr>
          <w:p>
            <w:pPr>
              <w:pStyle w:val="TableContents"/>
              <w:bidi w:val="0"/>
              <w:spacing w:before="0" w:after="283"/>
              <w:jc w:val="center"/>
              <w:rPr>
                <w:sz w:val="20"/>
              </w:rPr>
            </w:pPr>
            <w:r>
              <w:rPr>
                <w:sz w:val="20"/>
              </w:rPr>
              <w:t>Date</w:t>
            </w:r>
          </w:p>
        </w:tc>
      </w:tr>
      <w:tr>
        <w:trPr/>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1760" w:type="dxa"/>
            <w:tcBorders>
              <w:bottom w:val="single" w:sz="8" w:space="0" w:color="000000"/>
            </w:tcBorders>
            <w:vAlign w:val="center"/>
          </w:tcPr>
          <w:p>
            <w:pPr>
              <w:pStyle w:val="TableContents"/>
              <w:bidi w:val="0"/>
              <w:spacing w:before="0" w:after="283"/>
              <w:jc w:val="left"/>
              <w:rPr>
                <w:sz w:val="20"/>
              </w:rPr>
            </w:pPr>
            <w:r>
              <w:rPr>
                <w:sz w:val="20"/>
              </w:rPr>
              <w:t>/s/ Andy Stewart</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sz w:val="20"/>
              </w:rPr>
            </w:pPr>
            <w:r>
              <w:rPr>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sz w:val="20"/>
              </w:rPr>
            </w:pPr>
            <w:r>
              <w:rPr>
                <w:sz w:val="20"/>
              </w:rPr>
              <w:t>July 30, 2026</w:t>
            </w:r>
          </w:p>
        </w:tc>
      </w:tr>
      <w:tr>
        <w:trPr/>
        <w:tc>
          <w:tcPr>
            <w:tcW w:w="1760" w:type="dxa"/>
            <w:tcBorders/>
            <w:tcMar>
              <w:bottom w:w="0" w:type="dxa"/>
            </w:tcMar>
            <w:vAlign w:val="center"/>
          </w:tcPr>
          <w:p>
            <w:pPr>
              <w:pStyle w:val="TableContents"/>
              <w:bidi w:val="0"/>
              <w:spacing w:before="0" w:after="283"/>
              <w:jc w:val="left"/>
              <w:rPr>
                <w:sz w:val="20"/>
              </w:rPr>
            </w:pPr>
            <w:r>
              <w:rPr>
                <w:sz w:val="20"/>
              </w:rPr>
              <w:t>Andy Stewart</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i/>
                <w:sz w:val="20"/>
              </w:rPr>
            </w:pPr>
            <w:r>
              <w:rPr>
                <w:i/>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1760" w:type="dxa"/>
            <w:tcBorders>
              <w:bottom w:val="single" w:sz="8" w:space="0" w:color="000000"/>
            </w:tcBorders>
            <w:vAlign w:val="center"/>
          </w:tcPr>
          <w:p>
            <w:pPr>
              <w:pStyle w:val="TableContents"/>
              <w:bidi w:val="0"/>
              <w:spacing w:before="0" w:after="283"/>
              <w:jc w:val="left"/>
              <w:rPr>
                <w:sz w:val="20"/>
              </w:rPr>
            </w:pPr>
            <w:r>
              <w:rPr>
                <w:sz w:val="20"/>
              </w:rPr>
              <w:t>/s/ Chris Hickman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sz w:val="20"/>
              </w:rPr>
            </w:pPr>
            <w:r>
              <w:rPr>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sz w:val="20"/>
              </w:rPr>
            </w:pPr>
            <w:r>
              <w:rPr>
                <w:sz w:val="20"/>
              </w:rPr>
              <w:t>July 30, 2026</w:t>
            </w:r>
          </w:p>
        </w:tc>
      </w:tr>
      <w:tr>
        <w:trPr/>
        <w:tc>
          <w:tcPr>
            <w:tcW w:w="1760" w:type="dxa"/>
            <w:tcBorders/>
            <w:tcMar>
              <w:bottom w:w="0" w:type="dxa"/>
            </w:tcMar>
            <w:vAlign w:val="center"/>
          </w:tcPr>
          <w:p>
            <w:pPr>
              <w:pStyle w:val="TableContents"/>
              <w:bidi w:val="0"/>
              <w:spacing w:before="0" w:after="283"/>
              <w:jc w:val="left"/>
              <w:rPr>
                <w:sz w:val="20"/>
              </w:rPr>
            </w:pPr>
            <w:r>
              <w:rPr>
                <w:sz w:val="20"/>
              </w:rPr>
              <w:t>Chris Hickman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i/>
                <w:sz w:val="20"/>
              </w:rPr>
            </w:pPr>
            <w:r>
              <w:rPr>
                <w:i/>
                <w:sz w:val="20"/>
              </w:rPr>
              <w:t>(Principal Accounting and Financial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1760" w:type="dxa"/>
            <w:tcBorders>
              <w:bottom w:val="single" w:sz="8" w:space="0" w:color="000000"/>
            </w:tcBorders>
            <w:vAlign w:val="center"/>
          </w:tcPr>
          <w:p>
            <w:pPr>
              <w:pStyle w:val="TableContents"/>
              <w:bidi w:val="0"/>
              <w:spacing w:before="0" w:after="283"/>
              <w:jc w:val="left"/>
              <w:rPr>
                <w:sz w:val="20"/>
              </w:rPr>
            </w:pPr>
            <w:r>
              <w:rPr>
                <w:sz w:val="20"/>
              </w:rPr>
              <w:t>/s/ Elizabeth LaPuma</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sz w:val="20"/>
              </w:rPr>
            </w:pPr>
            <w:r>
              <w:rPr>
                <w:sz w:val="20"/>
              </w:rPr>
              <w:t>Chairperson of the Board</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sz w:val="20"/>
              </w:rPr>
            </w:pPr>
            <w:r>
              <w:rPr>
                <w:sz w:val="20"/>
              </w:rPr>
              <w:t>July 30, 2026</w:t>
            </w:r>
          </w:p>
        </w:tc>
      </w:tr>
      <w:tr>
        <w:trPr/>
        <w:tc>
          <w:tcPr>
            <w:tcW w:w="1760" w:type="dxa"/>
            <w:tcBorders/>
            <w:tcMar>
              <w:bottom w:w="0" w:type="dxa"/>
            </w:tcMar>
            <w:vAlign w:val="center"/>
          </w:tcPr>
          <w:p>
            <w:pPr>
              <w:pStyle w:val="TableContents"/>
              <w:bidi w:val="0"/>
              <w:spacing w:before="0" w:after="283"/>
              <w:jc w:val="left"/>
              <w:rPr>
                <w:sz w:val="20"/>
              </w:rPr>
            </w:pPr>
            <w:r>
              <w:rPr>
                <w:sz w:val="20"/>
              </w:rPr>
              <w:t>Elizabeth LaPuma</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1760" w:type="dxa"/>
            <w:tcBorders>
              <w:bottom w:val="single" w:sz="8" w:space="0" w:color="000000"/>
            </w:tcBorders>
            <w:vAlign w:val="center"/>
          </w:tcPr>
          <w:p>
            <w:pPr>
              <w:pStyle w:val="TableContents"/>
              <w:bidi w:val="0"/>
              <w:spacing w:before="0" w:after="283"/>
              <w:jc w:val="left"/>
              <w:rPr>
                <w:sz w:val="20"/>
              </w:rPr>
            </w:pPr>
            <w:r>
              <w:rPr>
                <w:sz w:val="20"/>
              </w:rPr>
              <w:t>/s/ Michael Abbate</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sz w:val="20"/>
              </w:rPr>
            </w:pPr>
            <w:r>
              <w:rPr>
                <w:sz w:val="20"/>
              </w:rPr>
              <w:t>July 30, 2026</w:t>
            </w:r>
          </w:p>
        </w:tc>
      </w:tr>
      <w:tr>
        <w:trPr/>
        <w:tc>
          <w:tcPr>
            <w:tcW w:w="1760" w:type="dxa"/>
            <w:tcBorders/>
            <w:tcMar>
              <w:bottom w:w="0" w:type="dxa"/>
            </w:tcMar>
            <w:vAlign w:val="center"/>
          </w:tcPr>
          <w:p>
            <w:pPr>
              <w:pStyle w:val="TableContents"/>
              <w:bidi w:val="0"/>
              <w:spacing w:before="0" w:after="283"/>
              <w:jc w:val="left"/>
              <w:rPr>
                <w:sz w:val="20"/>
              </w:rPr>
            </w:pPr>
            <w:r>
              <w:rPr>
                <w:sz w:val="20"/>
              </w:rPr>
              <w:t>Michael Abbate</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1760" w:type="dxa"/>
            <w:tcBorders>
              <w:bottom w:val="single" w:sz="8" w:space="0" w:color="000000"/>
            </w:tcBorders>
            <w:vAlign w:val="center"/>
          </w:tcPr>
          <w:p>
            <w:pPr>
              <w:pStyle w:val="TableContents"/>
              <w:bidi w:val="0"/>
              <w:spacing w:before="0" w:after="283"/>
              <w:jc w:val="left"/>
              <w:rPr>
                <w:sz w:val="20"/>
              </w:rPr>
            </w:pPr>
            <w:r>
              <w:rPr>
                <w:sz w:val="20"/>
              </w:rPr>
              <w:t>/s/ Thomas DiFiore</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sz w:val="20"/>
              </w:rPr>
            </w:pPr>
            <w:r>
              <w:rPr>
                <w:sz w:val="20"/>
              </w:rPr>
              <w:t>July 30, 2026</w:t>
            </w:r>
          </w:p>
        </w:tc>
      </w:tr>
      <w:tr>
        <w:trPr/>
        <w:tc>
          <w:tcPr>
            <w:tcW w:w="1760" w:type="dxa"/>
            <w:tcBorders/>
            <w:tcMar>
              <w:bottom w:w="0" w:type="dxa"/>
            </w:tcMar>
            <w:vAlign w:val="center"/>
          </w:tcPr>
          <w:p>
            <w:pPr>
              <w:pStyle w:val="TableContents"/>
              <w:bidi w:val="0"/>
              <w:spacing w:before="0" w:after="283"/>
              <w:jc w:val="left"/>
              <w:rPr>
                <w:sz w:val="20"/>
              </w:rPr>
            </w:pPr>
            <w:r>
              <w:rPr>
                <w:sz w:val="20"/>
              </w:rPr>
              <w:t>Thomas DiFiore</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1760" w:type="dxa"/>
            <w:tcBorders>
              <w:bottom w:val="single" w:sz="8" w:space="0" w:color="000000"/>
            </w:tcBorders>
            <w:vAlign w:val="center"/>
          </w:tcPr>
          <w:p>
            <w:pPr>
              <w:pStyle w:val="TableContents"/>
              <w:bidi w:val="0"/>
              <w:spacing w:before="0" w:after="283"/>
              <w:jc w:val="left"/>
              <w:rPr>
                <w:sz w:val="20"/>
              </w:rPr>
            </w:pPr>
            <w:r>
              <w:rPr>
                <w:sz w:val="20"/>
              </w:rPr>
              <w:t>/s/ Scott Duffy</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sz w:val="20"/>
              </w:rPr>
            </w:pPr>
            <w:r>
              <w:rPr>
                <w:sz w:val="20"/>
              </w:rPr>
              <w:t>July 30, 2026</w:t>
            </w:r>
          </w:p>
        </w:tc>
      </w:tr>
      <w:tr>
        <w:trPr/>
        <w:tc>
          <w:tcPr>
            <w:tcW w:w="1760" w:type="dxa"/>
            <w:tcBorders/>
            <w:tcMar>
              <w:bottom w:w="0" w:type="dxa"/>
            </w:tcMar>
            <w:vAlign w:val="center"/>
          </w:tcPr>
          <w:p>
            <w:pPr>
              <w:pStyle w:val="TableContents"/>
              <w:bidi w:val="0"/>
              <w:spacing w:before="0" w:after="283"/>
              <w:jc w:val="left"/>
              <w:rPr>
                <w:sz w:val="20"/>
              </w:rPr>
            </w:pPr>
            <w:r>
              <w:rPr>
                <w:sz w:val="20"/>
              </w:rPr>
              <w:t>Scott Duffy</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1760" w:type="dxa"/>
            <w:tcBorders>
              <w:bottom w:val="single" w:sz="8" w:space="0" w:color="000000"/>
            </w:tcBorders>
            <w:vAlign w:val="center"/>
          </w:tcPr>
          <w:p>
            <w:pPr>
              <w:pStyle w:val="TableContents"/>
              <w:bidi w:val="0"/>
              <w:spacing w:before="0" w:after="283"/>
              <w:jc w:val="left"/>
              <w:rPr>
                <w:sz w:val="20"/>
              </w:rPr>
            </w:pPr>
            <w:r>
              <w:rPr>
                <w:sz w:val="20"/>
              </w:rPr>
              <w:t>/s/ Scott Flanders</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sz w:val="20"/>
              </w:rPr>
            </w:pPr>
            <w:r>
              <w:rPr>
                <w:sz w:val="20"/>
              </w:rPr>
              <w:t>July 30, 2026</w:t>
            </w:r>
          </w:p>
        </w:tc>
      </w:tr>
      <w:tr>
        <w:trPr/>
        <w:tc>
          <w:tcPr>
            <w:tcW w:w="1760" w:type="dxa"/>
            <w:tcBorders/>
            <w:tcMar>
              <w:bottom w:w="0" w:type="dxa"/>
            </w:tcMar>
            <w:vAlign w:val="center"/>
          </w:tcPr>
          <w:p>
            <w:pPr>
              <w:pStyle w:val="TableContents"/>
              <w:bidi w:val="0"/>
              <w:spacing w:before="0" w:after="283"/>
              <w:jc w:val="left"/>
              <w:rPr>
                <w:sz w:val="20"/>
              </w:rPr>
            </w:pPr>
            <w:r>
              <w:rPr>
                <w:sz w:val="20"/>
              </w:rPr>
              <w:t>Scott Flanders</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1760" w:type="dxa"/>
            <w:tcBorders>
              <w:bottom w:val="single" w:sz="8" w:space="0" w:color="000000"/>
            </w:tcBorders>
            <w:vAlign w:val="center"/>
          </w:tcPr>
          <w:p>
            <w:pPr>
              <w:pStyle w:val="TableContents"/>
              <w:bidi w:val="0"/>
              <w:spacing w:before="0" w:after="283"/>
              <w:jc w:val="left"/>
              <w:rPr>
                <w:sz w:val="20"/>
              </w:rPr>
            </w:pPr>
            <w:r>
              <w:rPr>
                <w:sz w:val="20"/>
              </w:rPr>
              <w:t>/s/ Oliver Wiener</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sz w:val="20"/>
              </w:rPr>
            </w:pPr>
            <w:r>
              <w:rPr>
                <w:sz w:val="20"/>
              </w:rPr>
              <w:t>July 30, 2026</w:t>
            </w:r>
          </w:p>
        </w:tc>
      </w:tr>
      <w:tr>
        <w:trPr/>
        <w:tc>
          <w:tcPr>
            <w:tcW w:w="1760" w:type="dxa"/>
            <w:tcBorders/>
            <w:tcMar>
              <w:bottom w:w="0" w:type="dxa"/>
            </w:tcMar>
            <w:vAlign w:val="center"/>
          </w:tcPr>
          <w:p>
            <w:pPr>
              <w:pStyle w:val="TableContents"/>
              <w:bidi w:val="0"/>
              <w:spacing w:before="0" w:after="283"/>
              <w:jc w:val="left"/>
              <w:rPr>
                <w:sz w:val="20"/>
              </w:rPr>
            </w:pPr>
            <w:r>
              <w:rPr>
                <w:sz w:val="20"/>
              </w:rPr>
              <w:t>Oliver Wiener</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3" w:name="ionicdigiex5-1.htm"/>
      <w:bookmarkStart w:id="4" w:name="ksionicdigiex51"/>
      <w:bookmarkEnd w:id="3"/>
      <w:bookmarkEnd w:id="4"/>
      <w:r>
        <w:rPr>
          <w:b/>
        </w:rPr>
        <w:t>Exhibit 5.1</w:t>
      </w:r>
      <w:r>
        <w:br w:type="page"/>
      </w:r>
    </w:p>
    <w:p>
      <w:pPr>
        <w:pStyle w:val="TextBody"/>
        <w:bidi w:val="0"/>
        <w:spacing w:before="0" w:after="283"/>
        <w:jc w:val="left"/>
        <w:rPr/>
      </w:pPr>
      <w:r>
        <w:rPr/>
        <w:t> </w:t>
      </w:r>
    </w:p>
    <w:p>
      <w:pPr>
        <w:pStyle w:val="TextBody"/>
        <w:bidi w:val="0"/>
        <w:jc w:val="right"/>
        <w:rPr/>
      </w:pPr>
      <w:r>
        <w:rPr/>
        <w:drawing>
          <wp:inline distT="0" distB="0" distL="0" distR="0">
            <wp:extent cx="1905000" cy="219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1905000" cy="2190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Digital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 Massachusetts Avenue NW, 6th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District of Columbia 20001</w:t>
      </w:r>
    </w:p>
    <w:p>
      <w:pPr>
        <w:pStyle w:val="TextBody"/>
        <w:bidi w:val="0"/>
        <w:spacing w:before="0" w:after="0"/>
        <w:ind w:left="0" w:right="0" w:hanging="0"/>
        <w:jc w:val="left"/>
        <w:rPr>
          <w:caps w:val="false"/>
          <w:smallCaps w:val="false"/>
        </w:rPr>
      </w:pPr>
      <w:r>
        <w:rPr>
          <w:caps w:val="false"/>
          <w:smallCaps w:val="false"/>
        </w:rPr>
        <w:t> </w:t>
      </w:r>
    </w:p>
    <w:tbl>
      <w:tblPr>
        <w:tblW w:w="8690" w:type="dxa"/>
        <w:jc w:val="left"/>
        <w:tblInd w:w="0" w:type="dxa"/>
        <w:tblLayout w:type="fixed"/>
        <w:tblCellMar>
          <w:top w:w="0" w:type="dxa"/>
          <w:left w:w="0" w:type="dxa"/>
          <w:bottom w:w="0" w:type="dxa"/>
          <w:right w:w="0" w:type="dxa"/>
        </w:tblCellMar>
      </w:tblPr>
      <w:tblGrid>
        <w:gridCol w:w="5615"/>
        <w:gridCol w:w="60"/>
        <w:gridCol w:w="3015"/>
      </w:tblGrid>
      <w:tr>
        <w:trPr/>
        <w:tc>
          <w:tcPr>
            <w:tcW w:w="5615" w:type="dxa"/>
            <w:tcBorders/>
            <w:vAlign w:val="center"/>
          </w:tcPr>
          <w:p>
            <w:pPr>
              <w:pStyle w:val="TableContents"/>
              <w:bidi w:val="0"/>
              <w:spacing w:before="0" w:after="283"/>
              <w:jc w:val="left"/>
              <w:rPr>
                <w:u w:val="single"/>
              </w:rPr>
            </w:pPr>
            <w:r>
              <w:rPr>
                <w:u w:val="single"/>
              </w:rPr>
              <w:t>Re: Ionic Digital Inc. - Registration Statement on Form S-8</w:t>
            </w:r>
          </w:p>
        </w:tc>
        <w:tc>
          <w:tcPr>
            <w:tcW w:w="60" w:type="dxa"/>
            <w:tcBorders/>
            <w:vAlign w:val="center"/>
          </w:tcPr>
          <w:p>
            <w:pPr>
              <w:pStyle w:val="TableContents"/>
              <w:bidi w:val="0"/>
              <w:spacing w:before="0" w:after="283"/>
              <w:jc w:val="left"/>
              <w:rPr/>
            </w:pPr>
            <w:r>
              <w:rPr/>
              <w:t> </w:t>
            </w:r>
          </w:p>
        </w:tc>
        <w:tc>
          <w:tcPr>
            <w:tcW w:w="3015" w:type="dxa"/>
            <w:tcBorders/>
            <w:vAlign w:val="center"/>
          </w:tcPr>
          <w:p>
            <w:pPr>
              <w:pStyle w:val="TableContents"/>
              <w:bidi w:val="0"/>
              <w:spacing w:before="0" w:after="283"/>
              <w:jc w:val="right"/>
              <w:rPr/>
            </w:pPr>
            <w:r>
              <w:rPr/>
              <w:drawing>
                <wp:inline distT="0" distB="0" distL="0" distR="0">
                  <wp:extent cx="1905000" cy="1047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1905000" cy="104775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New York counsel to Ionic Digital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preparation and filing by the Company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of a registration statement on Form S-8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on the date hereof, relating to the registration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of 7,227,152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Class A common stock, par value $0.00001 per share, of the Company reserved for issuance under the Company’s Omnibus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in accordance with the requirements of Item 601(b)(5) of Regulation S–K under the Securities Act, and no opinion is expressed herein as to any matter pertaining to the contents of the Registration Statement or any related prospectus, other than as expressly stated herein with respect to the issue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opinion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 set forth in this opinion letter:</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676"/>
        <w:gridCol w:w="9391"/>
      </w:tblGrid>
      <w:tr>
        <w:trPr/>
        <w:tc>
          <w:tcPr>
            <w:tcW w:w="13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pPr>
            <w:r>
              <w:rPr/>
              <w:t>a.</w:t>
            </w:r>
          </w:p>
        </w:tc>
        <w:tc>
          <w:tcPr>
            <w:tcW w:w="9391" w:type="dxa"/>
            <w:tcBorders/>
            <w:vAlign w:val="center"/>
          </w:tcPr>
          <w:p>
            <w:pPr>
              <w:pStyle w:val="TableContents"/>
              <w:bidi w:val="0"/>
              <w:spacing w:before="0" w:after="283"/>
              <w:jc w:val="both"/>
              <w:rPr/>
            </w:pPr>
            <w:r>
              <w:rPr/>
              <w:t>the Registration Statement;</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a copy of the Amended and Restated Certificate of Incorporation of Ionic Digital Inc., filed with the Secretary of State of the State of Delaware on January 31, 2024, certified by the Secretary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a copy of the Amended and Restated Bylaws of Ionic Digital Inc. (Effective February 13, 2025), certified by the Secretary of the Company;</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a copy of the resolutions of the board of directors of the Company relating to, among other matters, the filing of the Registration Statement;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8"/>
        <w:gridCol w:w="1743"/>
        <w:gridCol w:w="8104"/>
      </w:tblGrid>
      <w:tr>
        <w:trPr/>
        <w:tc>
          <w:tcPr>
            <w:tcW w:w="35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pPr>
            <w:r>
              <w:rPr/>
              <w:t>e.</w:t>
            </w:r>
          </w:p>
        </w:tc>
        <w:tc>
          <w:tcPr>
            <w:tcW w:w="8104" w:type="dxa"/>
            <w:tcBorders/>
            <w:vAlign w:val="center"/>
          </w:tcPr>
          <w:p>
            <w:pPr>
              <w:pStyle w:val="TableContents"/>
              <w:bidi w:val="0"/>
              <w:spacing w:before="0" w:after="283"/>
              <w:jc w:val="both"/>
              <w:rPr/>
            </w:pPr>
            <w:r>
              <w:rPr/>
              <w:t>the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 expressed below, we have assumed, without independent investigation or verification of any kind, the genuineness of all signatures on documents we have reviewed, the legal capacity and competency of all natural persons signing all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assumptions and the assumptions set forth below, and subject to the qualifications and limitations stated herein, having considered such questions of law as we have deemed necessary as a basis for the opinion expressed below, we are of the opinion that the Shares reserved for issuance pursuant to the Plan, as referenced above, have been duly authorized for issuance and sale pursuant to the Plan by all necessary corporate action of the Company, and when issued as provided under the Plan, they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above is limited to questions arising under the Delaware General Corporation Law. We do not express any opinion as to the laws of any other jurisdiction. The opinion expressed above is limited to the matters stated in this opinion letter, and no opinion is implied or may be inferred beyond those expressly stated in this opinion letter. This opinion letter is for your benefit in connection with the Registration Statement and may be relied upon by you and by persons entitled to rely upon it pursuant to the applicable provisions of the Securities Act. This opinion letter is provided solely in connection with the issuance of the Shares pursuant to the Registration Statement and is not to be relied upon for any other purpose. 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 expressed in this opinion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with the Commission as Exhibit 5.1 to the Registration Statement. In giving this consent, we do not thereby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White &amp; Case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DN/AJE/AJ/RD/AS/ND</w:t>
      </w:r>
    </w:p>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 w:name="ionicdigiex23-1.htm"/>
      <w:bookmarkStart w:id="6" w:name="ksionicdigiex231"/>
      <w:bookmarkEnd w:id="5"/>
      <w:bookmarkEnd w:id="6"/>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of our report dated May 1, 2026, relating to the consolidated financial statements of Ionic Digital Inc. (the Company) appearing in the Company’s Registration Statement on Form S-1, as amended (No. 333-297125).</w:t>
      </w:r>
    </w:p>
    <w:p>
      <w:pPr>
        <w:pStyle w:val="TextBody"/>
        <w:bidi w:val="0"/>
        <w:spacing w:before="0" w:after="0"/>
        <w:ind w:left="0" w:right="0" w:hanging="0"/>
        <w:jc w:val="both"/>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955"/>
        <w:gridCol w:w="75"/>
      </w:tblGrid>
      <w:tr>
        <w:trPr/>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BDO USA, P.C.</w:t>
            </w:r>
          </w:p>
        </w:tc>
        <w:tc>
          <w:tcPr>
            <w:tcW w:w="75" w:type="dxa"/>
            <w:tcBorders/>
            <w:vAlign w:val="center"/>
          </w:tcPr>
          <w:p>
            <w:pPr>
              <w:pStyle w:val="TableContents"/>
              <w:bidi w:val="0"/>
              <w:spacing w:before="0" w:after="283"/>
              <w:jc w:val="both"/>
              <w:rPr/>
            </w:pPr>
            <w:r>
              <w:rPr/>
              <w:t> </w:t>
            </w:r>
          </w:p>
        </w:tc>
      </w:tr>
      <w:tr>
        <w:trPr/>
        <w:tc>
          <w:tcPr>
            <w:tcW w:w="195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BDO USA, P.C.</w:t>
            </w:r>
          </w:p>
        </w:tc>
        <w:tc>
          <w:tcPr>
            <w:tcW w:w="75" w:type="dxa"/>
            <w:tcBorders/>
            <w:vAlign w:val="center"/>
          </w:tcPr>
          <w:p>
            <w:pPr>
              <w:pStyle w:val="TableContents"/>
              <w:bidi w:val="0"/>
              <w:spacing w:before="0" w:after="283"/>
              <w:jc w:val="both"/>
              <w:rPr/>
            </w:pPr>
            <w:r>
              <w:rPr/>
              <w:t> </w:t>
            </w:r>
          </w:p>
        </w:tc>
      </w:tr>
      <w:tr>
        <w:trPr/>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 Angeles, California</w:t>
            </w:r>
          </w:p>
        </w:tc>
        <w:tc>
          <w:tcPr>
            <w:tcW w:w="75" w:type="dxa"/>
            <w:tcBorders/>
            <w:vAlign w:val="center"/>
          </w:tcPr>
          <w:p>
            <w:pPr>
              <w:pStyle w:val="TableContents"/>
              <w:bidi w:val="0"/>
              <w:spacing w:before="0" w:after="283"/>
              <w:jc w:val="both"/>
              <w:rPr/>
            </w:pPr>
            <w:r>
              <w:rPr/>
              <w:t> </w:t>
            </w:r>
          </w:p>
        </w:tc>
      </w:tr>
      <w:tr>
        <w:trPr/>
        <w:tc>
          <w:tcPr>
            <w:tcW w:w="195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30, 2026</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7" w:name="ionicdigiex-fee.htm"/>
      <w:bookmarkStart w:id="8" w:name="ksionicdigiexfee"/>
      <w:bookmarkEnd w:id="7"/>
      <w:bookmarkEnd w:id="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IONIC DIGITAL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26"/>
        <w:gridCol w:w="60"/>
        <w:gridCol w:w="1194"/>
        <w:gridCol w:w="60"/>
        <w:gridCol w:w="575"/>
        <w:gridCol w:w="60"/>
        <w:gridCol w:w="1108"/>
        <w:gridCol w:w="60"/>
        <w:gridCol w:w="1042"/>
        <w:gridCol w:w="60"/>
        <w:gridCol w:w="206"/>
        <w:gridCol w:w="826"/>
        <w:gridCol w:w="60"/>
        <w:gridCol w:w="143"/>
        <w:gridCol w:w="1554"/>
        <w:gridCol w:w="60"/>
        <w:gridCol w:w="1040"/>
        <w:gridCol w:w="60"/>
        <w:gridCol w:w="147"/>
        <w:gridCol w:w="1064"/>
      </w:tblGrid>
      <w:tr>
        <w:trPr/>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pPr>
            <w:r>
              <w:rPr/>
              <w:t> </w:t>
            </w:r>
          </w:p>
        </w:tc>
      </w:tr>
      <w:tr>
        <w:trPr/>
        <w:tc>
          <w:tcPr>
            <w:tcW w:w="826"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94"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8"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42"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97"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pPr>
            <w:r>
              <w:rPr/>
              <w:t> </w:t>
            </w:r>
          </w:p>
        </w:tc>
      </w:tr>
      <w:tr>
        <w:trPr/>
        <w:tc>
          <w:tcPr>
            <w:tcW w:w="826"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left"/>
              <w:rPr/>
            </w:pPr>
            <w:r>
              <w:rPr/>
              <w:t>Class A Common Stock, par value $0.00001 per share, reserved for issuance pursuant to the Ionic Digital Inc. Omnibus Incentive Plan (the "Plan")</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7,227,152</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56.45</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554" w:type="dxa"/>
            <w:tcBorders/>
            <w:vAlign w:val="center"/>
          </w:tcPr>
          <w:p>
            <w:pPr>
              <w:pStyle w:val="TableContents"/>
              <w:bidi w:val="0"/>
              <w:spacing w:before="0" w:after="283"/>
              <w:jc w:val="right"/>
              <w:rPr/>
            </w:pPr>
            <w:r>
              <w:rPr/>
              <w:t>407,972,730.40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56,341.03</w:t>
            </w:r>
          </w:p>
        </w:tc>
      </w:tr>
      <w:tr>
        <w:trPr/>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155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77"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554" w:type="dxa"/>
            <w:tcBorders/>
            <w:vAlign w:val="center"/>
          </w:tcPr>
          <w:p>
            <w:pPr>
              <w:pStyle w:val="TableContents"/>
              <w:bidi w:val="0"/>
              <w:spacing w:before="0" w:after="283"/>
              <w:jc w:val="right"/>
              <w:rPr/>
            </w:pPr>
            <w:r>
              <w:rPr/>
              <w:t>407,972,730.40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56,341.03</w:t>
            </w:r>
          </w:p>
        </w:tc>
      </w:tr>
      <w:tr>
        <w:trPr/>
        <w:tc>
          <w:tcPr>
            <w:tcW w:w="6077"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077"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bottom w:val="double" w:sz="8" w:space="0" w:color="000000"/>
            </w:tcBorders>
            <w:tcMar>
              <w:bottom w:w="28" w:type="dxa"/>
            </w:tcMar>
            <w:vAlign w:val="center"/>
          </w:tcPr>
          <w:p>
            <w:pPr>
              <w:pStyle w:val="TableContents"/>
              <w:bidi w:val="0"/>
              <w:spacing w:before="0" w:after="283"/>
              <w:jc w:val="left"/>
              <w:rPr/>
            </w:pPr>
            <w:r>
              <w:rPr/>
              <w:t>$</w:t>
            </w:r>
          </w:p>
        </w:tc>
        <w:tc>
          <w:tcPr>
            <w:tcW w:w="1064" w:type="dxa"/>
            <w:tcBorders>
              <w:bottom w:val="double" w:sz="8" w:space="0" w:color="000000"/>
            </w:tcBorders>
            <w:tcMar>
              <w:bottom w:w="28" w:type="dxa"/>
            </w:tcMar>
            <w:vAlign w:val="center"/>
          </w:tcPr>
          <w:p>
            <w:pPr>
              <w:pStyle w:val="TableContents"/>
              <w:bidi w:val="0"/>
              <w:spacing w:before="0" w:after="283"/>
              <w:jc w:val="right"/>
              <w:rPr/>
            </w:pPr>
            <w:r>
              <w:rPr/>
              <w:t>56,341.03</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5"/>
        <w:gridCol w:w="23"/>
        <w:gridCol w:w="9937"/>
      </w:tblGrid>
      <w:tr>
        <w:trPr/>
        <w:tc>
          <w:tcPr>
            <w:tcW w:w="245"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7" w:type="dxa"/>
            <w:tcBorders/>
            <w:vAlign w:val="center"/>
          </w:tcPr>
          <w:p>
            <w:pPr>
              <w:pStyle w:val="TableContents"/>
              <w:bidi w:val="0"/>
              <w:spacing w:before="0" w:after="283"/>
              <w:jc w:val="both"/>
              <w:rPr/>
            </w:pPr>
            <w:r>
              <w:rPr/>
              <w:t>Pursuant to Rule 416(a) under the Securities Act of 1933, as amended (the "Securities Act"), this Registration Statement on Form S-8 shall also cover any additional shares of Class A common stock, par value $0.00001 per share (the "Common Stock"), of Ionic Digital Inc. (the "Registrant"), as may become issuable under the Plan by reason of any stock splits, stock dividends, recapitalizations or similar transactions pursuant to the terms of the Plan.</w:t>
              <w:br/>
              <w:br/>
              <w:t>The proposed maximum offering price per Common Stock is estimated solely for purposes of calculating the registration fee in accordance with Rule 457(c) and Rule 457(h) under the Securities Act based on the average of the high and low prices of the Registrant’s Class A common stock, as reported on the Nasdaq Global Select Market on July 28,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07691/000118518526002704/ionicdigis1061026.htm" TargetMode="External"/><Relationship Id="rId3" Type="http://schemas.openxmlformats.org/officeDocument/2006/relationships/hyperlink" Target="http://www.sec.gov/Archives/edgar/data/2007691/000118518526003012/ionicdigi8a12b071426.htm" TargetMode="External"/><Relationship Id="rId4" Type="http://schemas.openxmlformats.org/officeDocument/2006/relationships/hyperlink" Target="http://www.sec.gov/Archives/edgar/data/2007691/000118518526002704/ionicdigiex3-1.htm" TargetMode="External"/><Relationship Id="rId5" Type="http://schemas.openxmlformats.org/officeDocument/2006/relationships/hyperlink" Target="http://www.sec.gov/Archives/edgar/data/2007691/000118518526002704/ionicdigiex3-2.htm" TargetMode="External"/><Relationship Id="rId6" Type="http://schemas.openxmlformats.org/officeDocument/2006/relationships/hyperlink" Target="http://www.sec.gov/Archives/edgar/data/2007691/000118518526002704/ionicdigiex10-5.htm"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3869</Words>
  <Characters>20616</Characters>
  <CharactersWithSpaces>24636</CharactersWithSpaces>
  <Paragraphs>598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