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ionicdigi8k072126.htm"/>
      <w:bookmarkStart w:id="1" w:name="ksionicdigi8k072126"/>
      <w:bookmarkEnd w:id="0"/>
      <w:bookmarkEnd w:id="1"/>
      <w:r>
        <w:rPr>
          <w:bdr w:val="single" w:sz="16"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UNITED STATES</w:t>
      </w:r>
    </w:p>
    <w:p>
      <w:pPr>
        <w:pStyle w:val="TextBody"/>
        <w:bidi w:val="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 xml:space="preserve">FORM </w:t>
      </w:r>
      <w:bookmarkStart w:id="2" w:name="xdx_90E_edei--DocumentType_c20260721__20"/>
      <w:bookmarkEnd w:id="2"/>
      <w:r>
        <w:rPr>
          <w:rFonts w:ascii="Times New Roman;Times;Serif" w:hAnsi="Times New Roman;Times;Serif"/>
          <w:b/>
          <w:i w:val="false"/>
          <w:caps w:val="false"/>
          <w:smallCaps w:val="false"/>
          <w:sz w:val="32"/>
        </w:rPr>
        <w:t>8-K</w:t>
      </w:r>
    </w:p>
    <w:p>
      <w:pPr>
        <w:pStyle w:val="TextBody"/>
        <w:bidi w:val="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i w:val="false"/>
          <w:caps w:val="false"/>
          <w:smallCaps w:val="false"/>
          <w:sz w:val="20"/>
        </w:rPr>
        <w:t>July 21, 2026</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36"/>
        </w:rPr>
      </w:pPr>
      <w:bookmarkStart w:id="4" w:name="xdx_90A_edei--EntityRegistrantName_c2026"/>
      <w:bookmarkEnd w:id="4"/>
      <w:r>
        <w:rPr>
          <w:rFonts w:ascii="Times New Roman;Times;Serif" w:hAnsi="Times New Roman;Times;Serif"/>
          <w:b/>
          <w:i w:val="false"/>
          <w:caps w:val="false"/>
          <w:smallCaps w:val="false"/>
          <w:sz w:val="36"/>
        </w:rPr>
        <w:t>Ionic Digital Inc.</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jc w:val="left"/>
        <w:rPr>
          <w:caps w:val="false"/>
          <w:smallCaps w:val="false"/>
        </w:rPr>
      </w:pPr>
      <w:r>
        <w:rPr>
          <w:caps w:val="false"/>
          <w:smallCaps w:val="false"/>
        </w:rPr>
        <w:t> </w:t>
      </w:r>
    </w:p>
    <w:tbl>
      <w:tblPr>
        <w:tblW w:w="6075" w:type="dxa"/>
        <w:jc w:val="left"/>
        <w:tblInd w:w="0" w:type="dxa"/>
        <w:tblLayout w:type="fixed"/>
        <w:tblCellMar>
          <w:top w:w="0" w:type="dxa"/>
          <w:left w:w="0" w:type="dxa"/>
          <w:bottom w:w="28" w:type="dxa"/>
          <w:right w:w="0" w:type="dxa"/>
        </w:tblCellMar>
      </w:tblPr>
      <w:tblGrid>
        <w:gridCol w:w="2210"/>
        <w:gridCol w:w="60"/>
        <w:gridCol w:w="2210"/>
        <w:gridCol w:w="60"/>
        <w:gridCol w:w="1535"/>
      </w:tblGrid>
      <w:tr>
        <w:trPr/>
        <w:tc>
          <w:tcPr>
            <w:tcW w:w="22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4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8_edei--EntityFileNumber_c20260721"/>
            <w:bookmarkEnd w:id="6"/>
            <w:r>
              <w:rPr>
                <w:rFonts w:ascii="Times New Roman;Times;Serif" w:hAnsi="Times New Roman;Times;Serif"/>
                <w:b/>
                <w:i w:val="false"/>
                <w:caps w:val="false"/>
                <w:smallCaps w:val="false"/>
                <w:sz w:val="20"/>
              </w:rPr>
              <w:t>001-41941</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F_edei--EntityTaxIdentificationNum"/>
            <w:bookmarkEnd w:id="7"/>
            <w:r>
              <w:rPr>
                <w:rFonts w:ascii="Times New Roman;Times;Serif" w:hAnsi="Times New Roman;Times;Serif"/>
                <w:b/>
                <w:i w:val="false"/>
                <w:caps w:val="false"/>
                <w:smallCaps w:val="false"/>
                <w:sz w:val="20"/>
              </w:rPr>
              <w:t>99-0565447</w:t>
            </w:r>
          </w:p>
        </w:tc>
      </w:tr>
      <w:tr>
        <w:trPr/>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(State or other jurisdiction </w:t>
              <w:br/>
              <w:t>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jc w:val="left"/>
        <w:rPr>
          <w:caps w:val="false"/>
          <w:smallCaps w:val="false"/>
        </w:rPr>
      </w:pPr>
      <w:r>
        <w:rPr>
          <w:caps w:val="false"/>
          <w:smallCaps w:val="false"/>
        </w:rPr>
        <w:t> </w:t>
      </w:r>
    </w:p>
    <w:p>
      <w:pPr>
        <w:pStyle w:val="TextBody"/>
        <w:bidi w:val="0"/>
        <w:spacing w:before="0" w:after="0"/>
        <w:jc w:val="center"/>
        <w:rPr>
          <w:b/>
        </w:rPr>
      </w:pPr>
      <w:bookmarkStart w:id="8" w:name="xdx_90C_edei--EntityAddressAddressLine1_"/>
      <w:bookmarkEnd w:id="8"/>
      <w:r>
        <w:rPr>
          <w:b/>
        </w:rPr>
        <w:t xml:space="preserve">650 Massachusetts Avenue NW, </w:t>
      </w:r>
      <w:bookmarkStart w:id="9" w:name="xdx_901_edei--EntityAddressAddressLine2_"/>
      <w:bookmarkEnd w:id="9"/>
      <w:r>
        <w:rPr>
          <w:b/>
        </w:rPr>
        <w:t>6</w:t>
      </w:r>
      <w:bookmarkStart w:id="10" w:name="xdx_900_edei--EntityAddressAddressLine3_"/>
      <w:bookmarkEnd w:id="10"/>
      <w:r>
        <w:rPr>
          <w:b/>
          <w:position w:val="8"/>
          <w:sz w:val="19"/>
        </w:rPr>
        <w:t>th</w:t>
      </w:r>
    </w:p>
    <w:p>
      <w:pPr>
        <w:pStyle w:val="TextBody"/>
        <w:bidi w:val="0"/>
        <w:spacing w:before="0" w:after="0"/>
        <w:jc w:val="center"/>
        <w:rPr>
          <w:b/>
        </w:rPr>
      </w:pPr>
      <w:bookmarkStart w:id="11" w:name="xdx_90A_edei--EntityAddressCityOrTown_c2"/>
      <w:bookmarkEnd w:id="11"/>
      <w:r>
        <w:rPr>
          <w:b/>
        </w:rPr>
        <w:t xml:space="preserve">Floor Washington, </w:t>
      </w:r>
      <w:bookmarkStart w:id="12" w:name="xdx_904_edei--EntityAddressStateOrProvin"/>
      <w:bookmarkEnd w:id="12"/>
      <w:r>
        <w:rPr>
          <w:b/>
        </w:rPr>
        <w:t xml:space="preserve">District of Columbia, </w:t>
      </w:r>
      <w:bookmarkStart w:id="13" w:name="xdx_901_edei--EntityAddressPostalZipCode"/>
      <w:bookmarkEnd w:id="13"/>
      <w:r>
        <w:rPr>
          <w:b/>
        </w:rPr>
        <w:t>20001</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p>
      <w:pPr>
        <w:pStyle w:val="TextBody"/>
        <w:bidi w:val="0"/>
        <w:spacing w:before="0" w:after="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14" w:name="xdx_909_edei--CityAreaCode_c20260721__20"/>
      <w:bookmarkEnd w:id="14"/>
      <w:r>
        <w:rPr>
          <w:rFonts w:ascii="Times New Roman;Times;Serif" w:hAnsi="Times New Roman;Times;Serif"/>
          <w:b/>
          <w:i w:val="false"/>
          <w:caps w:val="false"/>
          <w:smallCaps w:val="false"/>
          <w:sz w:val="20"/>
        </w:rPr>
        <w:t xml:space="preserve">(754) </w:t>
      </w:r>
      <w:bookmarkStart w:id="15" w:name="xdx_90F_edei--LocalPhoneNumber_c20260721"/>
      <w:bookmarkEnd w:id="15"/>
      <w:r>
        <w:rPr>
          <w:rFonts w:ascii="Times New Roman;Times;Serif" w:hAnsi="Times New Roman;Times;Serif"/>
          <w:b/>
          <w:i w:val="false"/>
          <w:caps w:val="false"/>
          <w:smallCaps w:val="false"/>
          <w:sz w:val="20"/>
        </w:rPr>
        <w:t xml:space="preserve">273-6593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 Applicable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Instructions A.2. below):</w:t>
      </w:r>
    </w:p>
    <w:p>
      <w:pPr>
        <w:pStyle w:val="TextBody"/>
        <w:bidi w:val="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6" w:name="xdx_90A_edei--WrittenCommunications_c202"/>
            <w:bookmarkEnd w:id="1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2_edei--SolicitingMaterial_c202607"/>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6_edei--PreCommencementTenderOffer"/>
            <w:bookmarkEnd w:id="18"/>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9" w:name="xdx_908_edei--PreCommencementIssuerTende"/>
            <w:bookmarkEnd w:id="19"/>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jc w:val="left"/>
        <w:rPr>
          <w:caps w:val="false"/>
          <w:smallCaps w:val="false"/>
        </w:rPr>
      </w:pPr>
      <w:r>
        <w:rPr>
          <w:caps w:val="false"/>
          <w:smallCaps w:val="false"/>
        </w:rPr>
        <w:t> </w:t>
      </w:r>
    </w:p>
    <w:tbl>
      <w:tblPr>
        <w:tblW w:w="9750" w:type="dxa"/>
        <w:jc w:val="left"/>
        <w:tblInd w:w="0" w:type="dxa"/>
        <w:tblLayout w:type="fixed"/>
        <w:tblCellMar>
          <w:top w:w="0" w:type="dxa"/>
          <w:left w:w="0" w:type="dxa"/>
          <w:bottom w:w="28" w:type="dxa"/>
          <w:right w:w="0" w:type="dxa"/>
        </w:tblCellMar>
      </w:tblPr>
      <w:tblGrid>
        <w:gridCol w:w="4310"/>
        <w:gridCol w:w="60"/>
        <w:gridCol w:w="1610"/>
        <w:gridCol w:w="60"/>
        <w:gridCol w:w="3710"/>
      </w:tblGrid>
      <w:tr>
        <w:trPr/>
        <w:tc>
          <w:tcPr>
            <w:tcW w:w="43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43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0_edei--Security12bTitle_c20260721"/>
            <w:bookmarkEnd w:id="20"/>
            <w:r>
              <w:rPr>
                <w:rFonts w:ascii="Times New Roman;Times;Serif" w:hAnsi="Times New Roman;Times;Serif"/>
                <w:sz w:val="20"/>
              </w:rPr>
              <w:t>Class A common stock, par value $0.00001 per share</w:t>
            </w:r>
          </w:p>
        </w:tc>
        <w:tc>
          <w:tcPr>
            <w:tcW w:w="60" w:type="dxa"/>
            <w:tcBorders/>
            <w:tcMar>
              <w:bottom w:w="0" w:type="dxa"/>
            </w:tcMar>
            <w:vAlign w:val="center"/>
          </w:tcPr>
          <w:p>
            <w:pPr>
              <w:pStyle w:val="TableContents"/>
              <w:bidi w:val="0"/>
              <w:spacing w:before="0" w:after="283"/>
              <w:jc w:val="center"/>
              <w:rPr/>
            </w:pPr>
            <w:r>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1" w:name="xdx_900_edei--TradingSymbol_c20260721__2"/>
            <w:bookmarkEnd w:id="21"/>
            <w:r>
              <w:rPr>
                <w:rFonts w:ascii="Times New Roman;Times;Serif" w:hAnsi="Times New Roman;Times;Serif"/>
                <w:sz w:val="20"/>
              </w:rPr>
              <w:t>IOND</w:t>
            </w:r>
          </w:p>
        </w:tc>
        <w:tc>
          <w:tcPr>
            <w:tcW w:w="60" w:type="dxa"/>
            <w:tcBorders/>
            <w:tcMar>
              <w:bottom w:w="0" w:type="dxa"/>
            </w:tcMar>
            <w:vAlign w:val="center"/>
          </w:tcPr>
          <w:p>
            <w:pPr>
              <w:pStyle w:val="TableContents"/>
              <w:bidi w:val="0"/>
              <w:spacing w:before="0" w:after="283"/>
              <w:jc w:val="center"/>
              <w:rPr/>
            </w:pPr>
            <w:r>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2" w:name="xdx_909_edei--SecurityExchangeName_c2026"/>
            <w:bookmarkEnd w:id="22"/>
            <w:r>
              <w:rPr>
                <w:rFonts w:ascii="Times New Roman;Times;Serif" w:hAnsi="Times New Roman;Times;Serif"/>
                <w:sz w:val="20"/>
              </w:rPr>
              <w:t>Nasdaq Global Select Market</w:t>
            </w:r>
          </w:p>
        </w:tc>
      </w:tr>
    </w:tbl>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3" w:name="xdx_904_edei--EntityEmergingGrowthCompan"/>
      <w:bookmarkEnd w:id="23"/>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4" w:name="xdx_906_edei--EntityExTransitionPeriod_c"/>
      <w:bookmarkEnd w:id="24"/>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2.02 Results of Operations and Financial Condition.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21, 2026, Ionic Digital Inc. (the “Company”) issued a press release announcing its financial expectations for the second quarter ending June 30, 2026 and full-year outlook for the year ending December 31, 2026. A copy of the press release is furnished as Exhibit 99.1 to this Current Report on Form 8-K.</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with this Item 2.02, including Exhibit 99.1,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announces material information to its investors using filings with the Securities and Exchange Commission, the Company’s website at ionicdigital.com, as well as press releases, public conference calls, public webcasts, the Company’s X feed (@IonicDigital), and the Company’s LinkedIn page. Therefore, the Company encourages investors, the media and others interested in the Company to review the information it makes public in these locations, as such information could be deemed to be material information.</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(d) Exhibits </w:t>
      </w:r>
    </w:p>
    <w:p>
      <w:pPr>
        <w:pStyle w:val="TextBody"/>
        <w:bidi w:val="0"/>
        <w:jc w:val="left"/>
        <w:rPr>
          <w:caps w:val="false"/>
          <w:smallCaps w:val="false"/>
        </w:rPr>
      </w:pPr>
      <w:r>
        <w:rPr>
          <w:caps w:val="false"/>
          <w:smallCaps w:val="false"/>
        </w:rPr>
        <w:t> </w:t>
      </w:r>
    </w:p>
    <w:tbl>
      <w:tblPr>
        <w:tblW w:w="7585" w:type="dxa"/>
        <w:jc w:val="left"/>
        <w:tblInd w:w="0" w:type="dxa"/>
        <w:tblLayout w:type="fixed"/>
        <w:tblCellMar>
          <w:top w:w="0" w:type="dxa"/>
          <w:left w:w="0" w:type="dxa"/>
          <w:bottom w:w="28" w:type="dxa"/>
          <w:right w:w="0" w:type="dxa"/>
        </w:tblCellMar>
      </w:tblPr>
      <w:tblGrid>
        <w:gridCol w:w="995"/>
        <w:gridCol w:w="60"/>
        <w:gridCol w:w="6530"/>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90" w:type="dxa"/>
            <w:gridSpan w:val="2"/>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tcMar>
              <w:bottom w:w="0" w:type="dxa"/>
            </w:tcMar>
            <w:vAlign w:val="center"/>
          </w:tcPr>
          <w:p>
            <w:pPr>
              <w:pStyle w:val="TableContents"/>
              <w:bidi w:val="0"/>
              <w:spacing w:before="0" w:after="283"/>
              <w:jc w:val="left"/>
              <w:rPr/>
            </w:pPr>
            <w:hyperlink w:anchor="ionicdigiex99-1.htm">
              <w:r>
                <w:rPr>
                  <w:rStyle w:val="InternetLink"/>
                  <w:rFonts w:ascii="Times New Roman;Times;Serif" w:hAnsi="Times New Roman;Times;Serif"/>
                  <w:b w:val="false"/>
                  <w:i w:val="false"/>
                  <w:caps w:val="false"/>
                  <w:smallCaps w:val="false"/>
                  <w:sz w:val="20"/>
                </w:rPr>
                <w:t>Press release issued by the Company dated July 21, 2026</w:t>
              </w:r>
            </w:hyperlink>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3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jc w:val="left"/>
        <w:rPr>
          <w:caps w:val="false"/>
          <w:smallCaps w:val="false"/>
        </w:rPr>
      </w:pPr>
      <w:r>
        <w:rPr>
          <w:caps w:val="false"/>
          <w:smallCaps w:val="false"/>
        </w:rPr>
        <w:t> </w:t>
      </w:r>
    </w:p>
    <w:tbl>
      <w:tblPr>
        <w:tblW w:w="3654" w:type="dxa"/>
        <w:jc w:val="left"/>
        <w:tblInd w:w="0" w:type="dxa"/>
        <w:tblLayout w:type="fixed"/>
        <w:tblCellMar>
          <w:top w:w="0" w:type="dxa"/>
          <w:left w:w="0" w:type="dxa"/>
          <w:bottom w:w="0" w:type="dxa"/>
          <w:right w:w="0" w:type="dxa"/>
        </w:tblCellMar>
      </w:tblPr>
      <w:tblGrid>
        <w:gridCol w:w="1730"/>
        <w:gridCol w:w="332"/>
        <w:gridCol w:w="1592"/>
      </w:tblGrid>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192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IONIC DIGITAL INC.</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332" w:type="dxa"/>
            <w:tcBorders/>
            <w:vAlign w:val="center"/>
          </w:tcPr>
          <w:p>
            <w:pPr>
              <w:pStyle w:val="TableContents"/>
              <w:bidi w:val="0"/>
              <w:spacing w:before="0" w:after="283"/>
              <w:jc w:val="left"/>
              <w:rPr>
                <w:caps w:val="false"/>
                <w:smallCaps w:val="false"/>
              </w:rPr>
            </w:pPr>
            <w:r>
              <w:rPr>
                <w:caps w:val="false"/>
                <w:smallCaps w:val="false"/>
              </w:rPr>
              <w:t> </w:t>
            </w:r>
          </w:p>
        </w:tc>
        <w:tc>
          <w:tcPr>
            <w:tcW w:w="159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21, 2026</w:t>
            </w:r>
          </w:p>
        </w:tc>
        <w:tc>
          <w:tcPr>
            <w:tcW w:w="33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9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Richard Carson</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332" w:type="dxa"/>
            <w:tcBorders/>
            <w:vAlign w:val="center"/>
          </w:tcPr>
          <w:p>
            <w:pPr>
              <w:pStyle w:val="TableContents"/>
              <w:bidi w:val="0"/>
              <w:spacing w:before="0" w:after="283"/>
              <w:jc w:val="left"/>
              <w:rPr>
                <w:caps w:val="false"/>
                <w:smallCaps w:val="false"/>
              </w:rPr>
            </w:pPr>
            <w:r>
              <w:rPr>
                <w:caps w:val="false"/>
                <w:smallCaps w:val="false"/>
              </w:rPr>
              <w:t> </w:t>
            </w:r>
          </w:p>
        </w:tc>
        <w:tc>
          <w:tcPr>
            <w:tcW w:w="15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Carson</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332" w:type="dxa"/>
            <w:tcBorders/>
            <w:vAlign w:val="center"/>
          </w:tcPr>
          <w:p>
            <w:pPr>
              <w:pStyle w:val="TableContents"/>
              <w:bidi w:val="0"/>
              <w:spacing w:before="0" w:after="283"/>
              <w:jc w:val="left"/>
              <w:rPr>
                <w:caps w:val="false"/>
                <w:smallCaps w:val="false"/>
              </w:rPr>
            </w:pPr>
            <w:r>
              <w:rPr>
                <w:caps w:val="false"/>
                <w:smallCaps w:val="false"/>
              </w:rPr>
              <w:t> </w:t>
            </w:r>
          </w:p>
        </w:tc>
        <w:tc>
          <w:tcPr>
            <w:tcW w:w="15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jc w:val="left"/>
        <w:rPr>
          <w:caps w:val="false"/>
          <w:smallCaps w:val="false"/>
        </w:rPr>
      </w:pPr>
      <w:r>
        <w:rPr>
          <w:caps w:val="false"/>
          <w:smallCaps w:val="false"/>
        </w:rPr>
        <w:t> </w:t>
      </w:r>
    </w:p>
    <w:p>
      <w:pPr>
        <w:pStyle w:val="TextBody"/>
        <w:bidi w:val="0"/>
        <w:jc w:val="right"/>
        <w:rPr>
          <w:b/>
        </w:rPr>
      </w:pPr>
      <w:bookmarkStart w:id="25" w:name="ionicdigiex99-1.htm"/>
      <w:bookmarkStart w:id="26" w:name="ksionicdigiex991"/>
      <w:bookmarkEnd w:id="25"/>
      <w:bookmarkEnd w:id="26"/>
      <w:r>
        <w:rPr>
          <w:b/>
        </w:rPr>
        <w:t>Exhibit 99.1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895475" cy="657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95475" cy="6572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Ionic Digital Provides Financial Outlook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Company Expects Full Year Total Revenue of $190 Million to $195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WASHINGTON – July 21, 2026</w:t>
      </w:r>
      <w:r>
        <w:rPr>
          <w:rFonts w:ascii="Times New Roman;Times;Serif" w:hAnsi="Times New Roman;Times;Serif"/>
          <w:b w:val="false"/>
          <w:i w:val="false"/>
          <w:caps w:val="false"/>
          <w:smallCaps w:val="false"/>
          <w:sz w:val="20"/>
        </w:rPr>
        <w:t xml:space="preserve"> – Ionic Digital Inc. (“Ionic Digital” or the “Company”), a digital infrastructure company supporting the expanding needs of AI and high-performance computing (HPC), today announced its financial expectations for the second quarter ended June 30, 2026 and full-year outlook for the year ending December 31, 2026:</w:t>
      </w:r>
    </w:p>
    <w:p>
      <w:pPr>
        <w:pStyle w:val="TextBody"/>
        <w:bidi w:val="0"/>
        <w:spacing w:before="0" w:after="0"/>
        <w:ind w:left="0" w:right="0" w:hanging="0"/>
        <w:jc w:val="both"/>
        <w:rPr>
          <w:caps w:val="false"/>
          <w:smallCaps w:val="false"/>
        </w:rPr>
      </w:pPr>
      <w:r>
        <w:rPr>
          <w:caps w:val="false"/>
          <w:smallCaps w:val="false"/>
        </w:rPr>
        <w:t> </w:t>
      </w:r>
    </w:p>
    <w:tbl>
      <w:tblPr>
        <w:tblW w:w="8115" w:type="dxa"/>
        <w:jc w:val="left"/>
        <w:tblInd w:w="0" w:type="dxa"/>
        <w:tblLayout w:type="fixed"/>
        <w:tblCellMar>
          <w:top w:w="0" w:type="dxa"/>
          <w:left w:w="0" w:type="dxa"/>
          <w:bottom w:w="0" w:type="dxa"/>
          <w:right w:w="0" w:type="dxa"/>
        </w:tblCellMar>
      </w:tblPr>
      <w:tblGrid>
        <w:gridCol w:w="3770"/>
        <w:gridCol w:w="60"/>
        <w:gridCol w:w="2300"/>
        <w:gridCol w:w="60"/>
        <w:gridCol w:w="1925"/>
      </w:tblGrid>
      <w:tr>
        <w:trPr/>
        <w:tc>
          <w:tcPr>
            <w:tcW w:w="3770" w:type="dxa"/>
            <w:tcBorders/>
            <w:shd w:fill="FFFFFF" w:val="clear"/>
            <w:vAlign w:val="center"/>
          </w:tcPr>
          <w:p>
            <w:pPr>
              <w:pStyle w:val="TableContents"/>
              <w:bidi w:val="0"/>
              <w:spacing w:before="0" w:after="0"/>
              <w:jc w:val="center"/>
              <w:rPr>
                <w:caps w:val="false"/>
                <w:smallCaps w:val="false"/>
              </w:rPr>
            </w:pPr>
            <w:r>
              <w:rPr>
                <w:caps w:val="false"/>
                <w:smallCaps w:val="false"/>
              </w:rPr>
              <w:t> </w:t>
            </w:r>
          </w:p>
          <w:p>
            <w:pPr>
              <w:pStyle w:val="TableContents"/>
              <w:bidi w:val="0"/>
              <w:spacing w:before="0" w:after="0"/>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pPr>
            <w:r>
              <w:rPr/>
              <w:t> </w:t>
            </w:r>
          </w:p>
        </w:tc>
        <w:tc>
          <w:tcPr>
            <w:tcW w:w="2300" w:type="dxa"/>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Company Expectation</w:t>
            </w:r>
          </w:p>
        </w:tc>
        <w:tc>
          <w:tcPr>
            <w:tcW w:w="60" w:type="dxa"/>
            <w:tcBorders/>
            <w:shd w:fill="FFFFFF" w:val="clear"/>
            <w:vAlign w:val="center"/>
          </w:tcPr>
          <w:p>
            <w:pPr>
              <w:pStyle w:val="TableContents"/>
              <w:bidi w:val="0"/>
              <w:spacing w:before="0" w:after="283"/>
              <w:jc w:val="center"/>
              <w:rPr/>
            </w:pPr>
            <w:r>
              <w:rPr/>
              <w:t> </w:t>
            </w:r>
          </w:p>
        </w:tc>
        <w:tc>
          <w:tcPr>
            <w:tcW w:w="1925" w:type="dxa"/>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Company Outlook</w:t>
            </w:r>
          </w:p>
        </w:tc>
      </w:tr>
      <w:tr>
        <w:trPr/>
        <w:tc>
          <w:tcPr>
            <w:tcW w:w="3770" w:type="dxa"/>
            <w:tcBorders>
              <w:bottom w:val="single" w:sz="8" w:space="0" w:color="000000"/>
            </w:tcBorders>
            <w:shd w:fill="FFFFFF" w:val="clear"/>
            <w:tcMar>
              <w:bottom w:w="28" w:type="dxa"/>
            </w:tcMar>
            <w:vAlign w:val="center"/>
          </w:tcPr>
          <w:p>
            <w:pPr>
              <w:pStyle w:val="TableContents"/>
              <w:bidi w:val="0"/>
              <w:spacing w:before="0" w:after="283"/>
              <w:jc w:val="left"/>
              <w:rPr>
                <w:b/>
              </w:rPr>
            </w:pPr>
            <w:r>
              <w:rPr>
                <w:b/>
              </w:rPr>
              <w:t>($ in millions except percentages)</w:t>
            </w:r>
          </w:p>
        </w:tc>
        <w:tc>
          <w:tcPr>
            <w:tcW w:w="60" w:type="dxa"/>
            <w:tcBorders/>
            <w:shd w:fill="FFFFFF" w:val="clear"/>
            <w:vAlign w:val="center"/>
          </w:tcPr>
          <w:p>
            <w:pPr>
              <w:pStyle w:val="TableContents"/>
              <w:bidi w:val="0"/>
              <w:spacing w:before="0" w:after="283"/>
              <w:jc w:val="center"/>
              <w:rPr/>
            </w:pPr>
            <w:r>
              <w:rPr/>
              <w:t> </w:t>
            </w:r>
          </w:p>
        </w:tc>
        <w:tc>
          <w:tcPr>
            <w:tcW w:w="2300" w:type="dxa"/>
            <w:tcBorders>
              <w:bottom w:val="single" w:sz="8" w:space="0" w:color="000000"/>
            </w:tcBorders>
            <w:shd w:fill="FFFFFF" w:val="clear"/>
            <w:tcMar>
              <w:bottom w:w="28" w:type="dxa"/>
            </w:tcMar>
            <w:vAlign w:val="center"/>
          </w:tcPr>
          <w:p>
            <w:pPr>
              <w:pStyle w:val="TableContents"/>
              <w:bidi w:val="0"/>
              <w:spacing w:before="0" w:after="283"/>
              <w:jc w:val="center"/>
              <w:rPr>
                <w:b/>
              </w:rPr>
            </w:pPr>
            <w:r>
              <w:rPr>
                <w:b/>
              </w:rPr>
              <w:t>Three</w:t>
              <w:br/>
              <w:t>Months</w:t>
              <w:br/>
              <w:t xml:space="preserve">Ended </w:t>
              <w:br/>
              <w:t>June 30,</w:t>
              <w:br/>
              <w:t>2026</w:t>
            </w:r>
          </w:p>
        </w:tc>
        <w:tc>
          <w:tcPr>
            <w:tcW w:w="60" w:type="dxa"/>
            <w:tcBorders/>
            <w:shd w:fill="FFFFFF" w:val="clear"/>
            <w:vAlign w:val="center"/>
          </w:tcPr>
          <w:p>
            <w:pPr>
              <w:pStyle w:val="TableContents"/>
              <w:bidi w:val="0"/>
              <w:spacing w:before="0" w:after="283"/>
              <w:jc w:val="center"/>
              <w:rPr/>
            </w:pPr>
            <w:r>
              <w:rPr/>
              <w:t> </w:t>
            </w:r>
          </w:p>
        </w:tc>
        <w:tc>
          <w:tcPr>
            <w:tcW w:w="1925" w:type="dxa"/>
            <w:tcBorders>
              <w:bottom w:val="single" w:sz="8" w:space="0" w:color="000000"/>
            </w:tcBorders>
            <w:shd w:fill="FFFFFF" w:val="clear"/>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Twelve</w:t>
              <w:br/>
              <w:t>Months</w:t>
              <w:br/>
              <w:t xml:space="preserve">Ending </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br/>
              <w:t>2026</w:t>
            </w:r>
          </w:p>
        </w:tc>
      </w:tr>
      <w:tr>
        <w:trPr/>
        <w:tc>
          <w:tcPr>
            <w:tcW w:w="3770" w:type="dxa"/>
            <w:tcBorders/>
            <w:shd w:fill="CCEEFF" w:val="clear"/>
            <w:vAlign w:val="center"/>
          </w:tcPr>
          <w:p>
            <w:pPr>
              <w:pStyle w:val="TableContents"/>
              <w:bidi w:val="0"/>
              <w:spacing w:before="0" w:after="283"/>
              <w:jc w:val="left"/>
              <w:rPr>
                <w:b/>
              </w:rPr>
            </w:pPr>
            <w:r>
              <w:rPr>
                <w:b/>
              </w:rPr>
              <w:t>Total Revenue</w:t>
            </w:r>
          </w:p>
        </w:tc>
        <w:tc>
          <w:tcPr>
            <w:tcW w:w="60" w:type="dxa"/>
            <w:tcBorders/>
            <w:shd w:fill="CCEEFF" w:val="clear"/>
            <w:vAlign w:val="center"/>
          </w:tcPr>
          <w:p>
            <w:pPr>
              <w:pStyle w:val="TableContents"/>
              <w:bidi w:val="0"/>
              <w:spacing w:before="0" w:after="283"/>
              <w:jc w:val="left"/>
              <w:rPr/>
            </w:pPr>
            <w:r>
              <w:rPr/>
              <w:t> </w:t>
            </w:r>
          </w:p>
        </w:tc>
        <w:tc>
          <w:tcPr>
            <w:tcW w:w="2300" w:type="dxa"/>
            <w:tcBorders/>
            <w:shd w:fill="CCEEFF" w:val="clear"/>
            <w:vAlign w:val="center"/>
          </w:tcPr>
          <w:p>
            <w:pPr>
              <w:pStyle w:val="TableContents"/>
              <w:bidi w:val="0"/>
              <w:spacing w:before="0" w:after="283"/>
              <w:jc w:val="center"/>
              <w:rPr/>
            </w:pPr>
            <w:r>
              <w:rPr/>
              <w:t>$47.5 - $48.5</w:t>
            </w:r>
          </w:p>
        </w:tc>
        <w:tc>
          <w:tcPr>
            <w:tcW w:w="6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center"/>
              <w:rPr/>
            </w:pPr>
            <w:r>
              <w:rPr/>
              <w:t>$190 - $195</w:t>
            </w:r>
          </w:p>
        </w:tc>
      </w:tr>
      <w:tr>
        <w:trPr/>
        <w:tc>
          <w:tcPr>
            <w:tcW w:w="3770" w:type="dxa"/>
            <w:tcBorders/>
            <w:shd w:fill="FFFFFF" w:val="clear"/>
            <w:vAlign w:val="center"/>
          </w:tcPr>
          <w:p>
            <w:pPr>
              <w:pStyle w:val="TableContents"/>
              <w:bidi w:val="0"/>
              <w:spacing w:before="0" w:after="283"/>
              <w:jc w:val="left"/>
              <w:rPr/>
            </w:pPr>
            <w:r>
              <w:rPr/>
              <w:t>% Digital infrastructure leasing revenue</w:t>
            </w:r>
          </w:p>
        </w:tc>
        <w:tc>
          <w:tcPr>
            <w:tcW w:w="60" w:type="dxa"/>
            <w:tcBorders/>
            <w:shd w:fill="FFFFFF" w:val="clear"/>
            <w:vAlign w:val="center"/>
          </w:tcPr>
          <w:p>
            <w:pPr>
              <w:pStyle w:val="TableContents"/>
              <w:bidi w:val="0"/>
              <w:spacing w:before="0" w:after="283"/>
              <w:jc w:val="left"/>
              <w:rPr/>
            </w:pPr>
            <w:r>
              <w:rPr/>
              <w:t> </w:t>
            </w:r>
          </w:p>
        </w:tc>
        <w:tc>
          <w:tcPr>
            <w:tcW w:w="2300" w:type="dxa"/>
            <w:tcBorders/>
            <w:shd w:fill="FFFFFF" w:val="clear"/>
            <w:vAlign w:val="center"/>
          </w:tcPr>
          <w:p>
            <w:pPr>
              <w:pStyle w:val="TableContents"/>
              <w:bidi w:val="0"/>
              <w:spacing w:before="0" w:after="283"/>
              <w:jc w:val="center"/>
              <w:rPr/>
            </w:pPr>
            <w:r>
              <w:rPr/>
              <w:t>92% - 90%</w:t>
            </w:r>
          </w:p>
        </w:tc>
        <w:tc>
          <w:tcPr>
            <w:tcW w:w="60" w:type="dxa"/>
            <w:tcBorders/>
            <w:shd w:fill="FFFFFF" w:val="clear"/>
            <w:vAlign w:val="center"/>
          </w:tcPr>
          <w:p>
            <w:pPr>
              <w:pStyle w:val="TableContents"/>
              <w:bidi w:val="0"/>
              <w:spacing w:before="0" w:after="283"/>
              <w:jc w:val="left"/>
              <w:rPr/>
            </w:pPr>
            <w:r>
              <w:rPr/>
              <w:t> </w:t>
            </w:r>
          </w:p>
        </w:tc>
        <w:tc>
          <w:tcPr>
            <w:tcW w:w="1925" w:type="dxa"/>
            <w:tcBorders/>
            <w:shd w:fill="FFFFFF" w:val="clear"/>
            <w:vAlign w:val="center"/>
          </w:tcPr>
          <w:p>
            <w:pPr>
              <w:pStyle w:val="TableContents"/>
              <w:bidi w:val="0"/>
              <w:spacing w:before="0" w:after="283"/>
              <w:jc w:val="center"/>
              <w:rPr/>
            </w:pPr>
            <w:r>
              <w:rPr/>
              <w:t>92% - 90%</w:t>
            </w:r>
          </w:p>
        </w:tc>
      </w:tr>
      <w:tr>
        <w:trPr/>
        <w:tc>
          <w:tcPr>
            <w:tcW w:w="3770" w:type="dxa"/>
            <w:tcBorders/>
            <w:shd w:fill="CCEEFF" w:val="clear"/>
            <w:vAlign w:val="center"/>
          </w:tcPr>
          <w:p>
            <w:pPr>
              <w:pStyle w:val="TableContents"/>
              <w:bidi w:val="0"/>
              <w:spacing w:before="0" w:after="283"/>
              <w:jc w:val="left"/>
              <w:rPr>
                <w:b/>
              </w:rPr>
            </w:pPr>
            <w:r>
              <w:rPr>
                <w:b/>
              </w:rPr>
              <w:t>Adjusted EBITDA</w:t>
            </w:r>
          </w:p>
        </w:tc>
        <w:tc>
          <w:tcPr>
            <w:tcW w:w="60" w:type="dxa"/>
            <w:tcBorders/>
            <w:shd w:fill="CCEEFF" w:val="clear"/>
            <w:vAlign w:val="center"/>
          </w:tcPr>
          <w:p>
            <w:pPr>
              <w:pStyle w:val="TableContents"/>
              <w:bidi w:val="0"/>
              <w:spacing w:before="0" w:after="283"/>
              <w:jc w:val="left"/>
              <w:rPr/>
            </w:pPr>
            <w:r>
              <w:rPr/>
              <w:t> </w:t>
            </w:r>
          </w:p>
        </w:tc>
        <w:tc>
          <w:tcPr>
            <w:tcW w:w="2300" w:type="dxa"/>
            <w:tcBorders/>
            <w:shd w:fill="CCEEFF" w:val="clear"/>
            <w:vAlign w:val="center"/>
          </w:tcPr>
          <w:p>
            <w:pPr>
              <w:pStyle w:val="TableContents"/>
              <w:bidi w:val="0"/>
              <w:spacing w:before="0" w:after="283"/>
              <w:jc w:val="center"/>
              <w:rPr/>
            </w:pPr>
            <w:r>
              <w:rPr/>
              <w:t>$36.0 - $37.0</w:t>
            </w:r>
          </w:p>
        </w:tc>
        <w:tc>
          <w:tcPr>
            <w:tcW w:w="60" w:type="dxa"/>
            <w:tcBorders/>
            <w:shd w:fill="CCEEFF" w:val="clear"/>
            <w:vAlign w:val="center"/>
          </w:tcPr>
          <w:p>
            <w:pPr>
              <w:pStyle w:val="TableContents"/>
              <w:bidi w:val="0"/>
              <w:spacing w:before="0" w:after="283"/>
              <w:jc w:val="left"/>
              <w:rPr/>
            </w:pPr>
            <w:r>
              <w:rPr/>
              <w:t> </w:t>
            </w:r>
          </w:p>
        </w:tc>
        <w:tc>
          <w:tcPr>
            <w:tcW w:w="1925" w:type="dxa"/>
            <w:tcBorders/>
            <w:shd w:fill="CCEEFF" w:val="clear"/>
            <w:vAlign w:val="center"/>
          </w:tcPr>
          <w:p>
            <w:pPr>
              <w:pStyle w:val="TableContents"/>
              <w:bidi w:val="0"/>
              <w:spacing w:before="0" w:after="283"/>
              <w:jc w:val="center"/>
              <w:rPr/>
            </w:pPr>
            <w:r>
              <w:rPr/>
              <w:t>$137.5 - $142.5</w:t>
            </w:r>
          </w:p>
        </w:tc>
      </w:tr>
      <w:tr>
        <w:trPr/>
        <w:tc>
          <w:tcPr>
            <w:tcW w:w="377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Capital Expenditures </w:t>
            </w:r>
            <w:r>
              <w:rPr>
                <w:rFonts w:ascii="Times New Roman;Times;Serif" w:hAnsi="Times New Roman;Times;Serif"/>
                <w:b/>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2300" w:type="dxa"/>
            <w:tcBorders/>
            <w:shd w:fill="FFFFFF" w:val="clear"/>
            <w:vAlign w:val="center"/>
          </w:tcPr>
          <w:p>
            <w:pPr>
              <w:pStyle w:val="TableContents"/>
              <w:bidi w:val="0"/>
              <w:spacing w:before="0" w:after="283"/>
              <w:jc w:val="center"/>
              <w:rPr/>
            </w:pPr>
            <w:r>
              <w:rPr/>
              <w:t>$5.5 - $6.5</w:t>
            </w:r>
          </w:p>
        </w:tc>
        <w:tc>
          <w:tcPr>
            <w:tcW w:w="60" w:type="dxa"/>
            <w:tcBorders/>
            <w:shd w:fill="FFFFFF" w:val="clear"/>
            <w:vAlign w:val="center"/>
          </w:tcPr>
          <w:p>
            <w:pPr>
              <w:pStyle w:val="TableContents"/>
              <w:bidi w:val="0"/>
              <w:spacing w:before="0" w:after="283"/>
              <w:jc w:val="left"/>
              <w:rPr/>
            </w:pPr>
            <w:r>
              <w:rPr/>
              <w:t> </w:t>
            </w:r>
          </w:p>
        </w:tc>
        <w:tc>
          <w:tcPr>
            <w:tcW w:w="1925" w:type="dxa"/>
            <w:tcBorders/>
            <w:shd w:fill="FFFFFF" w:val="clear"/>
            <w:vAlign w:val="center"/>
          </w:tcPr>
          <w:p>
            <w:pPr>
              <w:pStyle w:val="TableContents"/>
              <w:bidi w:val="0"/>
              <w:spacing w:before="0" w:after="283"/>
              <w:jc w:val="center"/>
              <w:rPr/>
            </w:pPr>
            <w:r>
              <w:rPr/>
              <w:t>$45 - $60</w:t>
            </w:r>
          </w:p>
        </w:tc>
      </w:tr>
    </w:tbl>
    <w:p>
      <w:pPr>
        <w:pStyle w:val="TextBody"/>
        <w:bidi w:val="0"/>
        <w:spacing w:before="0" w:after="283"/>
        <w:jc w:val="left"/>
        <w:rPr/>
      </w:pPr>
      <w:r>
        <w:rPr/>
        <w:t> </w:t>
      </w:r>
    </w:p>
    <w:tbl>
      <w:tblPr>
        <w:tblW w:w="5545" w:type="dxa"/>
        <w:jc w:val="left"/>
        <w:tblInd w:w="0" w:type="dxa"/>
        <w:tblLayout w:type="fixed"/>
        <w:tblCellMar>
          <w:top w:w="0" w:type="dxa"/>
          <w:left w:w="0" w:type="dxa"/>
          <w:bottom w:w="0" w:type="dxa"/>
          <w:right w:w="0" w:type="dxa"/>
        </w:tblCellMar>
      </w:tblPr>
      <w:tblGrid>
        <w:gridCol w:w="245"/>
        <w:gridCol w:w="5300"/>
      </w:tblGrid>
      <w:tr>
        <w:trPr/>
        <w:tc>
          <w:tcPr>
            <w:tcW w:w="245" w:type="dxa"/>
            <w:tcBorders/>
            <w:vAlign w:val="center"/>
          </w:tcPr>
          <w:p>
            <w:pPr>
              <w:pStyle w:val="TableContents"/>
              <w:bidi w:val="0"/>
              <w:spacing w:before="0" w:after="283"/>
              <w:jc w:val="left"/>
              <w:rPr>
                <w:rFonts w:ascii="Times New Roman;Times;Serif" w:hAnsi="Times New Roman;Times;Serif"/>
                <w:i/>
                <w:position w:val="7"/>
                <w:sz w:val="16"/>
                <w:sz w:val="20"/>
              </w:rPr>
            </w:pPr>
            <w:r>
              <w:rPr>
                <w:rFonts w:ascii="Times New Roman;Times;Serif" w:hAnsi="Times New Roman;Times;Serif"/>
                <w:i/>
                <w:position w:val="7"/>
                <w:sz w:val="16"/>
                <w:sz w:val="20"/>
              </w:rPr>
              <w:t>(1)</w:t>
            </w:r>
          </w:p>
        </w:tc>
        <w:tc>
          <w:tcPr>
            <w:tcW w:w="530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excludes potential capital expenditures for new site acquisitions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Measure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is a non-GAAP measure. We define Adjusted EBITDA as net income (loss) before interest, taxes, depreciation, and amortization, further adjusted for certain non-recurring or infrequent items, including realized and unrealized gains and losses on digital assets, unrealized gains or losses on energy derivatives and other investments, one-time gains or losses on litigation settlements, share-based compensation expense, impairment charges on intangible and long-lived assets, costs related to the decommissioning of cryptocurrency mining sites, and other infrequent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Adjusted EBITDA to evaluate operating performance, allocate resources, and make strategic decisions, including assessing progress on our transition from Bitcoin mining to digital infrastructure leasing. Adjusted EBITDA is used in internal forecasting and budgeting, in evaluating treasury management decisions, and in board-level discussions regarding capital structure, liquidity, and our ability to fund growth initiatives.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exclusion of realized and unrealized gains and losses on digital assets from Adjusted EBITDA does not reverse or modify GAAP recognition and measurement principles. We exclude these amounts because they primarily reflect Bitcoin market price fluctuations and treasury management decisions. We view our Bitcoin holdings primarily as investments used to support liquidity and growth initiatives, rather than as components of our operations. Core operating performance is driven by factors such as hashrate performance, energy costs, miner efficiency, uptime, and revenues from digital infrastructure leasing activities. We include digital assets received as revenue at the market price on the date of receipt, as this reflects value realized from core business activities. Decisions to hold or liquidate these assets are investment decisions, distinct from operating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present Adjusted EBITDA because we believe it provides useful information to investors and analysts in assessing our financial performance. In particular, the exclusion of realized and unrealized gains and losses on digital assets allows investors to evaluate operating performance on a basis more consistent with management’s view of our core business as we execute our strategic transition.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1895475" cy="657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95475" cy="657225"/>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 is the GAAP measure most directly comparable to Adjusted EBITDA. This non-GAAP measure should not be considered as an alternative to GAAP measures. We encourage you to evaluate each adjustment and the reasons management considers them appropriate. We may incur similar or unusual items in the future that could affect Adjusted EBITDA, and our presentation should not be construed as an inference that future results will be unaffected by such items. There can be no assurance that we will not modify the presentation of Adjusted EBITDA in the future, and any modification may be material. Adjusted EBITDA has important limitations as an analytical tool and should not be considered in isolation or as a substitute for GAAP results. It may be defined differently by other companies, limiting comparability.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table below, we reconcile our preliminary estimates of Net loss to Adjusted EBITDA.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taxes for the year ending December 31, 2026 cannot be reasonably predicted, and do not necessarily correlate to the performance or operation of our business. Accordingly, we have not reconciled our estimated Adjusted EBITDA outlook to its most directly comparable GAAP measure, as it is not available without unreasonable effort.</w:t>
      </w:r>
    </w:p>
    <w:p>
      <w:pPr>
        <w:pStyle w:val="TextBody"/>
        <w:bidi w:val="0"/>
        <w:spacing w:before="0" w:after="0"/>
        <w:ind w:left="0" w:right="0" w:hanging="0"/>
        <w:jc w:val="both"/>
        <w:rPr>
          <w:caps w:val="false"/>
          <w:smallCaps w:val="false"/>
        </w:rPr>
      </w:pPr>
      <w:r>
        <w:rPr>
          <w:caps w:val="false"/>
          <w:smallCaps w:val="false"/>
        </w:rPr>
        <w:t> </w:t>
      </w:r>
    </w:p>
    <w:tbl>
      <w:tblPr>
        <w:tblW w:w="7300" w:type="dxa"/>
        <w:jc w:val="left"/>
        <w:tblInd w:w="0" w:type="dxa"/>
        <w:tblLayout w:type="fixed"/>
        <w:tblCellMar>
          <w:top w:w="0" w:type="dxa"/>
          <w:left w:w="0" w:type="dxa"/>
          <w:bottom w:w="0" w:type="dxa"/>
          <w:right w:w="0" w:type="dxa"/>
        </w:tblCellMar>
      </w:tblPr>
      <w:tblGrid>
        <w:gridCol w:w="4910"/>
        <w:gridCol w:w="60"/>
        <w:gridCol w:w="140"/>
        <w:gridCol w:w="755"/>
        <w:gridCol w:w="95"/>
        <w:gridCol w:w="60"/>
        <w:gridCol w:w="215"/>
        <w:gridCol w:w="60"/>
        <w:gridCol w:w="140"/>
        <w:gridCol w:w="755"/>
        <w:gridCol w:w="110"/>
      </w:tblGrid>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0" w:type="dxa"/>
            <w:gridSpan w:val="8"/>
            <w:tcBorders/>
            <w:vAlign w:val="center"/>
          </w:tcPr>
          <w:p>
            <w:pPr>
              <w:pStyle w:val="TableContents"/>
              <w:bidi w:val="0"/>
              <w:spacing w:before="0" w:after="283"/>
              <w:jc w:val="center"/>
              <w:rPr>
                <w:b/>
              </w:rPr>
            </w:pPr>
            <w:r>
              <w:rPr>
                <w:b/>
              </w:rPr>
              <w:t>Three Months Ended</w:t>
            </w:r>
          </w:p>
        </w:tc>
        <w:tc>
          <w:tcPr>
            <w:tcW w:w="110" w:type="dxa"/>
            <w:tcBorders/>
            <w:vAlign w:val="center"/>
          </w:tcPr>
          <w:p>
            <w:pPr>
              <w:pStyle w:val="TableContents"/>
              <w:bidi w:val="0"/>
              <w:spacing w:before="0" w:after="283"/>
              <w:jc w:val="left"/>
              <w:rPr/>
            </w:pPr>
            <w:r>
              <w:rPr/>
              <w:t> </w:t>
            </w:r>
          </w:p>
        </w:tc>
      </w:tr>
      <w:tr>
        <w:trPr/>
        <w:tc>
          <w:tcPr>
            <w:tcW w:w="4910" w:type="dxa"/>
            <w:tcBorders>
              <w:bottom w:val="single" w:sz="8" w:space="0" w:color="000000"/>
            </w:tcBorders>
            <w:tcMar>
              <w:bottom w:w="28" w:type="dxa"/>
            </w:tcMar>
            <w:vAlign w:val="center"/>
          </w:tcPr>
          <w:p>
            <w:pPr>
              <w:pStyle w:val="TableContents"/>
              <w:bidi w:val="0"/>
              <w:spacing w:before="0" w:after="283"/>
              <w:jc w:val="left"/>
              <w:rPr/>
            </w:pPr>
            <w:r>
              <w:rPr/>
              <w:t>$ in 000s</w:t>
            </w:r>
          </w:p>
        </w:tc>
        <w:tc>
          <w:tcPr>
            <w:tcW w:w="60" w:type="dxa"/>
            <w:tcBorders/>
            <w:vAlign w:val="center"/>
          </w:tcPr>
          <w:p>
            <w:pPr>
              <w:pStyle w:val="TableContents"/>
              <w:bidi w:val="0"/>
              <w:spacing w:before="0" w:after="283"/>
              <w:jc w:val="left"/>
              <w:rPr/>
            </w:pPr>
            <w:r>
              <w:rPr/>
              <w:t> </w:t>
            </w:r>
          </w:p>
        </w:tc>
        <w:tc>
          <w:tcPr>
            <w:tcW w:w="2220" w:type="dxa"/>
            <w:gridSpan w:val="8"/>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110" w:type="dxa"/>
            <w:tcBorders/>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755" w:type="dxa"/>
            <w:tcBorders/>
            <w:shd w:fill="CCEEFF" w:val="clear"/>
            <w:vAlign w:val="center"/>
          </w:tcPr>
          <w:p>
            <w:pPr>
              <w:pStyle w:val="TableContents"/>
              <w:bidi w:val="0"/>
              <w:spacing w:before="0" w:after="283"/>
              <w:jc w:val="right"/>
              <w:rPr>
                <w:b/>
              </w:rPr>
            </w:pPr>
            <w:r>
              <w:rPr>
                <w:b/>
              </w:rPr>
              <w:t>(35,000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center"/>
              <w:rPr>
                <w:b/>
              </w:rPr>
            </w:pPr>
            <w:r>
              <w:rPr>
                <w:b/>
              </w:rPr>
              <w:t>to</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755" w:type="dxa"/>
            <w:tcBorders/>
            <w:shd w:fill="CCEEFF" w:val="clear"/>
            <w:vAlign w:val="center"/>
          </w:tcPr>
          <w:p>
            <w:pPr>
              <w:pStyle w:val="TableContents"/>
              <w:bidi w:val="0"/>
              <w:spacing w:before="0" w:after="283"/>
              <w:jc w:val="right"/>
              <w:rPr>
                <w:b/>
              </w:rPr>
            </w:pPr>
            <w:r>
              <w:rPr>
                <w:b/>
              </w:rPr>
              <w:t>(34,000</w:t>
            </w:r>
          </w:p>
        </w:tc>
        <w:tc>
          <w:tcPr>
            <w:tcW w:w="110" w:type="dxa"/>
            <w:tcBorders/>
            <w:shd w:fill="CCEEFF" w:val="clear"/>
            <w:vAlign w:val="center"/>
          </w:tcPr>
          <w:p>
            <w:pPr>
              <w:pStyle w:val="TableContents"/>
              <w:bidi w:val="0"/>
              <w:spacing w:before="0" w:after="283"/>
              <w:jc w:val="left"/>
              <w:rPr>
                <w:b/>
              </w:rPr>
            </w:pPr>
            <w:r>
              <w:rPr>
                <w:b/>
              </w:rPr>
              <w:t>)</w:t>
            </w:r>
          </w:p>
        </w:tc>
      </w:tr>
      <w:tr>
        <w:trPr/>
        <w:tc>
          <w:tcPr>
            <w:tcW w:w="4910"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center"/>
              <w:rPr/>
            </w:pPr>
            <w:r>
              <w:rPr/>
              <w:t>to</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(175</w:t>
            </w:r>
          </w:p>
        </w:tc>
        <w:tc>
          <w:tcPr>
            <w:tcW w:w="110" w:type="dxa"/>
            <w:tcBorders/>
            <w:shd w:fill="FFFFFF" w:val="clear"/>
            <w:vAlign w:val="center"/>
          </w:tcPr>
          <w:p>
            <w:pPr>
              <w:pStyle w:val="TableContents"/>
              <w:bidi w:val="0"/>
              <w:spacing w:before="0" w:after="283"/>
              <w:jc w:val="left"/>
              <w:rPr/>
            </w:pPr>
            <w:r>
              <w:rPr/>
              <w:t>)</w:t>
            </w:r>
          </w:p>
        </w:tc>
      </w:tr>
      <w:tr>
        <w:trPr/>
        <w:tc>
          <w:tcPr>
            <w:tcW w:w="4910" w:type="dxa"/>
            <w:tcBorders/>
            <w:shd w:fill="CCEEFF" w:val="clear"/>
            <w:vAlign w:val="center"/>
          </w:tcPr>
          <w:p>
            <w:pPr>
              <w:pStyle w:val="TableContents"/>
              <w:bidi w:val="0"/>
              <w:spacing w:before="0" w:after="283"/>
              <w:jc w:val="left"/>
              <w:rPr/>
            </w:pPr>
            <w:r>
              <w:rPr/>
              <w:t>Provision from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26,500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center"/>
              <w:rPr/>
            </w:pPr>
            <w:r>
              <w:rPr/>
              <w:t>to</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27,500</w:t>
            </w:r>
          </w:p>
        </w:tc>
        <w:tc>
          <w:tcPr>
            <w:tcW w:w="110"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4,800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center"/>
              <w:rPr/>
            </w:pPr>
            <w:r>
              <w:rPr/>
              <w:t>to</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5,000</w:t>
            </w:r>
          </w:p>
        </w:tc>
        <w:tc>
          <w:tcPr>
            <w:tcW w:w="11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pPr>
            <w:r>
              <w:rPr/>
              <w:t>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center"/>
              <w:rPr/>
            </w:pPr>
            <w:r>
              <w:rPr/>
              <w:t>to</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w:t>
            </w:r>
          </w:p>
        </w:tc>
        <w:tc>
          <w:tcPr>
            <w:tcW w:w="110"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pPr>
            <w:r>
              <w:rPr/>
              <w:t>Share-based compensation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9,800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center"/>
              <w:rPr/>
            </w:pPr>
            <w:r>
              <w:rPr/>
              <w:t>to</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10,000</w:t>
            </w:r>
          </w:p>
        </w:tc>
        <w:tc>
          <w:tcPr>
            <w:tcW w:w="11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pPr>
            <w:r>
              <w:rPr/>
              <w:t>(Gain) loss on fair value of cryptocurrency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27,500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center"/>
              <w:rPr/>
            </w:pPr>
            <w:r>
              <w:rPr/>
              <w:t>to</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28,500</w:t>
            </w:r>
          </w:p>
        </w:tc>
        <w:tc>
          <w:tcPr>
            <w:tcW w:w="110"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pPr>
            <w:r>
              <w:rPr/>
              <w:t>Non-recurring legal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1,350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center"/>
              <w:rPr/>
            </w:pPr>
            <w:r>
              <w:rPr/>
              <w:t>to</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1,300</w:t>
            </w:r>
          </w:p>
        </w:tc>
        <w:tc>
          <w:tcPr>
            <w:tcW w:w="110"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pPr>
            <w:r>
              <w:rPr/>
              <w:t>Realized loss on the sale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830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center"/>
              <w:rPr/>
            </w:pPr>
            <w:r>
              <w:rPr/>
              <w:t>to</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860</w:t>
            </w:r>
          </w:p>
        </w:tc>
        <w:tc>
          <w:tcPr>
            <w:tcW w:w="110" w:type="dxa"/>
            <w:tcBorders/>
            <w:shd w:fill="CCEEFF" w:val="clear"/>
            <w:vAlign w:val="center"/>
          </w:tcPr>
          <w:p>
            <w:pPr>
              <w:pStyle w:val="TableContents"/>
              <w:bidi w:val="0"/>
              <w:spacing w:before="0" w:after="283"/>
              <w:jc w:val="left"/>
              <w:rPr/>
            </w:pPr>
            <w:r>
              <w:rPr/>
              <w:t> </w:t>
            </w:r>
          </w:p>
        </w:tc>
      </w:tr>
      <w:tr>
        <w:trPr/>
        <w:tc>
          <w:tcPr>
            <w:tcW w:w="4910" w:type="dxa"/>
            <w:tcBorders/>
            <w:shd w:fill="FFFFFF" w:val="clear"/>
            <w:vAlign w:val="center"/>
          </w:tcPr>
          <w:p>
            <w:pPr>
              <w:pStyle w:val="TableContents"/>
              <w:bidi w:val="0"/>
              <w:spacing w:before="0" w:after="283"/>
              <w:jc w:val="left"/>
              <w:rPr>
                <w:b/>
              </w:rPr>
            </w:pPr>
            <w:r>
              <w:rPr>
                <w:b/>
              </w:rPr>
              <w:t>Adjusted EBITDA</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36,000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center"/>
              <w:rPr>
                <w:b/>
              </w:rPr>
            </w:pPr>
            <w:r>
              <w:rPr>
                <w:b/>
              </w:rPr>
              <w:t>to</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37,000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applicable securities laws. Forward-looking statements include statements concerning plans, objectives, goals, strategies, future events or performance, and underlying assumptions, including Ionic Digital’s preliminary results for the quarter ended June 30, 2026 and its guidance for the year ending December 31, 2026, and other statements that are statements other than historical facts. When the Company and its management uses words such as “may,” “will,” “intend,” “should,” “believe,” “expect,” “anticipate,” “project,” “estimate” or similar expressions that do not relate solely to historical matters, it is making forward-looking statements. Forward-looking statements are not guarantees of future performance and involve risks and uncertainties that may cause actual results to differ materially from the Company’s expectations discussed in the forward-looking statements. These statements are subject to uncertainties and risks including, but not limited to, the uncertainties related to market conditions, competitive dynamics, regulatory changes, and other factors discussed in the “Risk Factors” section of the Company’s Registration Statement filed with the SEC. For these reasons, among others, investors are cautioned not to place undue reliance upon any forward-looking statements in this press release. Additional factors are discussed in the Company’s filings with the SEC, which are available for review at 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1895475" cy="6572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895475" cy="657225"/>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About Ionic Digital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Ionic Digital is the fast-track provider of High-Performance Computing (HPC) and data center infrastructure, designed to drive stability in the rapidly evolving AI landscape. In an industry where constrained power and extended development timelines cause bottlenecks, Ionic Digital delivers certainty in performance, scalability and speed to market, providing fully ready assets and the rigorous due diligence required for the world’s most intensive AI workloads. Led by a seasoned team with deep experience developing hundreds of megawatts and raising billions in capital, Ionic Digital is the definitive, trusted foundation for the future of AI.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learn more, visit ionicdigital.com or follow us on X and LinkedIn.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 inquiries, please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Gateway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ionic@gateway-grp.com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media inquiries, please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JSA for Ionic Digital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pr@ionicdigital.com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1683</Words>
  <Characters>9625</Characters>
  <CharactersWithSpaces>11346</CharactersWithSpaces>
  <Paragraphs>347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